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line="1100" w:lineRule="exact"/>
        <w:rPr>
          <w:rFonts w:eastAsia="汉仪大宋简"/>
          <w:b/>
          <w:color w:val="FF0000"/>
          <w:spacing w:val="2"/>
          <w:w w:val="36"/>
          <w:sz w:val="100"/>
          <w:szCs w:val="100"/>
        </w:rPr>
      </w:pPr>
      <w:r>
        <w:rPr>
          <w:rFonts w:eastAsia="汉仪大宋简"/>
          <w:b/>
          <w:color w:val="FF0000"/>
          <w:spacing w:val="2"/>
          <w:sz w:val="100"/>
          <w:szCs w:val="100"/>
          <w:lang/>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-222885</wp:posOffset>
                </wp:positionV>
                <wp:extent cx="3562350" cy="390525"/>
                <wp:effectExtent l="0" t="0" r="0" b="0"/>
                <wp:wrapNone/>
                <wp:docPr id="1" name="矩形 9"/>
                <wp:cNvGraphicFramePr/>
                <a:graphic xmlns:a="http://schemas.openxmlformats.org/drawingml/2006/main">
                  <a:graphicData uri="http://schemas.microsoft.com/office/word/2010/wordprocessingShape">
                    <wps:wsp>
                      <wps:cNvSpPr/>
                      <wps:spPr>
                        <a:xfrm>
                          <a:off x="0" y="0"/>
                          <a:ext cx="3562350" cy="390525"/>
                        </a:xfrm>
                        <a:prstGeom prst="rect">
                          <a:avLst/>
                        </a:prstGeom>
                        <a:noFill/>
                        <a:ln>
                          <a:noFill/>
                        </a:ln>
                      </wps:spPr>
                      <wps:txbx>
                        <w:txbxContent>
                          <w:p>
                            <w:pPr>
                              <w:rPr>
                                <w:rFonts w:hint="eastAsia" w:ascii="仿宋_GB2312" w:eastAsia="仿宋_GB2312"/>
                                <w:sz w:val="32"/>
                                <w:szCs w:val="32"/>
                              </w:rPr>
                            </w:pPr>
                            <w:r>
                              <w:rPr>
                                <w:rFonts w:hint="eastAsia" w:ascii="仿宋_GB2312" w:eastAsia="仿宋_GB2312"/>
                                <w:sz w:val="32"/>
                                <w:szCs w:val="32"/>
                              </w:rPr>
                              <w:t>HNPR</w:t>
                            </w:r>
                            <w:r>
                              <w:rPr>
                                <w:rFonts w:hint="eastAsia" w:ascii="仿宋_GB2312" w:hAnsi="仿宋_GB2312" w:eastAsia="仿宋_GB2312" w:cs="仿宋_GB2312"/>
                                <w:bCs/>
                                <w:sz w:val="32"/>
                                <w:szCs w:val="32"/>
                              </w:rPr>
                              <w:t>-</w:t>
                            </w:r>
                            <w:r>
                              <w:rPr>
                                <w:rFonts w:hint="eastAsia" w:ascii="仿宋_GB2312" w:eastAsia="仿宋_GB2312"/>
                                <w:sz w:val="32"/>
                                <w:szCs w:val="32"/>
                              </w:rPr>
                              <w:t>2022</w:t>
                            </w:r>
                            <w:r>
                              <w:rPr>
                                <w:rFonts w:hint="eastAsia" w:ascii="仿宋_GB2312" w:hAnsi="仿宋_GB2312" w:eastAsia="仿宋_GB2312" w:cs="仿宋_GB2312"/>
                                <w:bCs/>
                                <w:sz w:val="32"/>
                                <w:szCs w:val="32"/>
                              </w:rPr>
                              <w:t>-</w:t>
                            </w:r>
                            <w:r>
                              <w:rPr>
                                <w:rFonts w:hint="eastAsia" w:ascii="仿宋_GB2312" w:eastAsia="仿宋_GB2312"/>
                                <w:sz w:val="32"/>
                                <w:szCs w:val="32"/>
                              </w:rPr>
                              <w:t>37001</w:t>
                            </w:r>
                          </w:p>
                        </w:txbxContent>
                      </wps:txbx>
                      <wps:bodyPr wrap="square" upright="1"/>
                    </wps:wsp>
                  </a:graphicData>
                </a:graphic>
              </wp:anchor>
            </w:drawing>
          </mc:Choice>
          <mc:Fallback>
            <w:pict>
              <v:rect id="矩形 9" o:spid="_x0000_s1026" o:spt="1" style="position:absolute;left:0pt;margin-left:-1.75pt;margin-top:-17.55pt;height:30.75pt;width:280.5pt;z-index:251659264;mso-width-relative:page;mso-height-relative:page;" filled="f" stroked="f" coordsize="21600,21600" o:gfxdata="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7nH+&#10;2gAAAAkBAAAPAAAAAAAAAAEAIAAAACIAAABkcnMvZG93bnJldi54bWxQSwECFAAUAAAACACHTuJA&#10;o9wD460BAABPAwAADgAAAAAAAAABACAAAAApAQAAZHJzL2Uyb0RvYy54bWxQSwUGAAAAAAYABgBZ&#10;AQAASAUAAAAA&#10;">
                <v:fill on="f" focussize="0,0"/>
                <v:stroke on="f"/>
                <v:imagedata o:title=""/>
                <o:lock v:ext="edit" aspectratio="f"/>
                <v:textbox>
                  <w:txbxContent>
                    <w:p>
                      <w:pPr>
                        <w:rPr>
                          <w:rFonts w:hint="eastAsia" w:ascii="仿宋_GB2312" w:eastAsia="仿宋_GB2312"/>
                          <w:sz w:val="32"/>
                          <w:szCs w:val="32"/>
                        </w:rPr>
                      </w:pPr>
                      <w:r>
                        <w:rPr>
                          <w:rFonts w:hint="eastAsia" w:ascii="仿宋_GB2312" w:eastAsia="仿宋_GB2312"/>
                          <w:sz w:val="32"/>
                          <w:szCs w:val="32"/>
                        </w:rPr>
                        <w:t>HNPR</w:t>
                      </w:r>
                      <w:r>
                        <w:rPr>
                          <w:rFonts w:hint="eastAsia" w:ascii="仿宋_GB2312" w:hAnsi="仿宋_GB2312" w:eastAsia="仿宋_GB2312" w:cs="仿宋_GB2312"/>
                          <w:bCs/>
                          <w:sz w:val="32"/>
                          <w:szCs w:val="32"/>
                        </w:rPr>
                        <w:t>-</w:t>
                      </w:r>
                      <w:r>
                        <w:rPr>
                          <w:rFonts w:hint="eastAsia" w:ascii="仿宋_GB2312" w:eastAsia="仿宋_GB2312"/>
                          <w:sz w:val="32"/>
                          <w:szCs w:val="32"/>
                        </w:rPr>
                        <w:t>2022</w:t>
                      </w:r>
                      <w:r>
                        <w:rPr>
                          <w:rFonts w:hint="eastAsia" w:ascii="仿宋_GB2312" w:hAnsi="仿宋_GB2312" w:eastAsia="仿宋_GB2312" w:cs="仿宋_GB2312"/>
                          <w:bCs/>
                          <w:sz w:val="32"/>
                          <w:szCs w:val="32"/>
                        </w:rPr>
                        <w:t>-</w:t>
                      </w:r>
                      <w:r>
                        <w:rPr>
                          <w:rFonts w:hint="eastAsia" w:ascii="仿宋_GB2312" w:eastAsia="仿宋_GB2312"/>
                          <w:sz w:val="32"/>
                          <w:szCs w:val="32"/>
                        </w:rPr>
                        <w:t>37001</w:t>
                      </w:r>
                    </w:p>
                  </w:txbxContent>
                </v:textbox>
              </v:rect>
            </w:pict>
          </mc:Fallback>
        </mc:AlternateContent>
      </w:r>
    </w:p>
    <w:p>
      <w:pPr>
        <w:spacing w:before="312" w:beforeLines="100" w:line="1100" w:lineRule="exact"/>
        <w:rPr>
          <w:rFonts w:eastAsia="汉仪大宋简"/>
          <w:b/>
          <w:color w:val="FF0000"/>
          <w:w w:val="56"/>
          <w:sz w:val="100"/>
          <w:szCs w:val="100"/>
        </w:rPr>
      </w:pPr>
    </w:p>
    <w:p>
      <w:pPr>
        <w:widowControl/>
        <w:spacing w:before="468" w:beforeLines="150" w:line="440" w:lineRule="exact"/>
        <w:jc w:val="center"/>
        <w:rPr>
          <w:rFonts w:ascii="仿宋_GB2312" w:eastAsia="仿宋_GB2312"/>
          <w:bCs/>
          <w:kern w:val="0"/>
          <w:sz w:val="32"/>
          <w:szCs w:val="32"/>
        </w:rPr>
      </w:pPr>
      <w:r>
        <w:rPr>
          <w:rFonts w:hint="eastAsia" w:ascii="仿宋_GB2312" w:eastAsia="仿宋_GB2312"/>
          <w:bCs/>
          <w:kern w:val="0"/>
          <w:sz w:val="32"/>
          <w:szCs w:val="32"/>
        </w:rPr>
        <w:t>湘网办发〔2022〕6号</w:t>
      </w:r>
    </w:p>
    <w:p/>
    <w:p>
      <w:bookmarkStart w:id="1" w:name="_GoBack"/>
      <w:bookmarkEnd w:id="1"/>
    </w:p>
    <w:p>
      <w:pPr>
        <w:spacing w:line="600" w:lineRule="exact"/>
        <w:jc w:val="center"/>
        <w:rPr>
          <w:rFonts w:hint="eastAsia" w:ascii="方正小标宋简体" w:eastAsia="方正小标宋简体"/>
          <w:sz w:val="44"/>
          <w:szCs w:val="44"/>
        </w:rPr>
      </w:pPr>
    </w:p>
    <w:p>
      <w:pPr>
        <w:pStyle w:val="2"/>
      </w:pPr>
    </w:p>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中共湖南省委网信办</w:t>
      </w:r>
    </w:p>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湖南省人力资源和社会保障厅</w:t>
      </w:r>
    </w:p>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关于印发《湖南省网信工程专业职称申报</w:t>
      </w:r>
    </w:p>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评价办法（试行）》的通知</w:t>
      </w:r>
    </w:p>
    <w:p>
      <w:pPr>
        <w:spacing w:line="660" w:lineRule="exact"/>
        <w:ind w:firstLine="640" w:firstLineChars="200"/>
        <w:rPr>
          <w:rFonts w:ascii="仿宋_GB2312" w:eastAsia="仿宋_GB2312"/>
          <w:sz w:val="32"/>
          <w:szCs w:val="32"/>
        </w:rPr>
      </w:pPr>
    </w:p>
    <w:p>
      <w:pPr>
        <w:spacing w:line="660" w:lineRule="exact"/>
        <w:rPr>
          <w:rFonts w:ascii="仿宋_GB2312" w:eastAsia="仿宋_GB2312"/>
          <w:sz w:val="32"/>
          <w:szCs w:val="32"/>
        </w:rPr>
      </w:pPr>
      <w:r>
        <w:rPr>
          <w:rFonts w:hint="eastAsia" w:ascii="仿宋_GB2312" w:eastAsia="仿宋_GB2312"/>
          <w:sz w:val="32"/>
          <w:szCs w:val="32"/>
        </w:rPr>
        <w:t>各市州委网信办、市州人力资源和社会保障局，省直及中央在湘有关单位人事（职改）部门：</w:t>
      </w:r>
    </w:p>
    <w:p>
      <w:pPr>
        <w:spacing w:line="660" w:lineRule="exact"/>
        <w:ind w:firstLine="640"/>
        <w:jc w:val="center"/>
        <w:rPr>
          <w:rFonts w:eastAsia="仿宋_GB2312"/>
          <w:sz w:val="32"/>
          <w:szCs w:val="32"/>
        </w:rPr>
      </w:pPr>
      <w:r>
        <w:rPr>
          <w:rFonts w:eastAsia="仿宋_GB2312"/>
          <w:sz w:val="32"/>
        </w:rPr>
        <w:t>根据</w:t>
      </w:r>
      <w:r>
        <w:rPr>
          <w:rFonts w:eastAsia="仿宋_GB2312"/>
          <w:sz w:val="32"/>
          <w:szCs w:val="32"/>
        </w:rPr>
        <w:t xml:space="preserve">《人力资源社会保障部 </w:t>
      </w:r>
      <w:r>
        <w:rPr>
          <w:rFonts w:hint="eastAsia" w:eastAsia="仿宋_GB2312"/>
          <w:sz w:val="32"/>
          <w:szCs w:val="32"/>
        </w:rPr>
        <w:t>工业和信息化</w:t>
      </w:r>
      <w:r>
        <w:rPr>
          <w:rFonts w:eastAsia="仿宋_GB2312"/>
          <w:sz w:val="32"/>
          <w:szCs w:val="32"/>
        </w:rPr>
        <w:t>部关于深化</w:t>
      </w:r>
      <w:r>
        <w:rPr>
          <w:rFonts w:hint="eastAsia" w:eastAsia="仿宋_GB2312"/>
          <w:sz w:val="32"/>
          <w:szCs w:val="32"/>
        </w:rPr>
        <w:t>工程技术</w:t>
      </w:r>
      <w:r>
        <w:rPr>
          <w:rFonts w:eastAsia="仿宋_GB2312"/>
          <w:sz w:val="32"/>
          <w:szCs w:val="32"/>
        </w:rPr>
        <w:t>人员职称制度改革的指导意见》（人社部发</w:t>
      </w:r>
      <w:r>
        <w:rPr>
          <w:rFonts w:hint="eastAsia" w:ascii="仿宋_GB2312" w:eastAsia="仿宋_GB2312"/>
          <w:sz w:val="32"/>
          <w:szCs w:val="32"/>
        </w:rPr>
        <w:t>〔2019〕16</w:t>
      </w:r>
      <w:r>
        <w:rPr>
          <w:rFonts w:eastAsia="仿宋_GB2312"/>
          <w:sz w:val="32"/>
          <w:szCs w:val="32"/>
        </w:rPr>
        <w:t>号）</w:t>
      </w:r>
      <w:r>
        <w:rPr>
          <w:rFonts w:hint="eastAsia" w:eastAsia="仿宋_GB2312"/>
          <w:sz w:val="32"/>
          <w:szCs w:val="32"/>
        </w:rPr>
        <w:t>等规定</w:t>
      </w:r>
      <w:r>
        <w:rPr>
          <w:rFonts w:eastAsia="仿宋_GB2312"/>
          <w:sz w:val="32"/>
          <w:szCs w:val="32"/>
        </w:rPr>
        <w:t>，结合我省</w:t>
      </w:r>
      <w:r>
        <w:rPr>
          <w:rFonts w:hint="eastAsia" w:eastAsia="仿宋_GB2312"/>
          <w:sz w:val="32"/>
          <w:szCs w:val="32"/>
        </w:rPr>
        <w:t>网信工程</w:t>
      </w:r>
      <w:r>
        <w:rPr>
          <w:rFonts w:eastAsia="仿宋_GB2312"/>
          <w:sz w:val="32"/>
          <w:szCs w:val="32"/>
        </w:rPr>
        <w:t>专业</w:t>
      </w:r>
      <w:r>
        <w:rPr>
          <w:rFonts w:hint="eastAsia" w:eastAsia="仿宋_GB2312"/>
          <w:sz w:val="32"/>
          <w:szCs w:val="32"/>
        </w:rPr>
        <w:t>技术</w:t>
      </w:r>
      <w:r>
        <w:rPr>
          <w:rFonts w:eastAsia="仿宋_GB2312"/>
          <w:sz w:val="32"/>
          <w:szCs w:val="32"/>
        </w:rPr>
        <w:t>人员队伍建设实际，</w:t>
      </w:r>
    </w:p>
    <w:p>
      <w:pPr>
        <w:spacing w:line="660" w:lineRule="exact"/>
        <w:rPr>
          <w:rFonts w:eastAsia="仿宋_GB2312"/>
          <w:sz w:val="32"/>
        </w:rPr>
      </w:pPr>
      <w:r>
        <w:rPr>
          <w:rFonts w:eastAsia="仿宋_GB2312"/>
          <w:sz w:val="32"/>
          <w:szCs w:val="32"/>
        </w:rPr>
        <w:t>制定《</w:t>
      </w:r>
      <w:r>
        <w:rPr>
          <w:rFonts w:hint="eastAsia" w:eastAsia="仿宋_GB2312"/>
          <w:sz w:val="32"/>
          <w:szCs w:val="32"/>
        </w:rPr>
        <w:t>湖南省网信工程专业职称申报评价办法（试行）</w:t>
      </w:r>
      <w:r>
        <w:rPr>
          <w:rFonts w:eastAsia="仿宋_GB2312"/>
          <w:sz w:val="32"/>
          <w:szCs w:val="32"/>
        </w:rPr>
        <w:t>》，现予以印发，请认真贯彻执行。执行中的有关情况请及时反馈，以便进</w:t>
      </w:r>
      <w:r>
        <w:rPr>
          <w:rFonts w:eastAsia="仿宋_GB2312"/>
          <w:sz w:val="32"/>
        </w:rPr>
        <w:t>一步完善。</w:t>
      </w:r>
    </w:p>
    <w:p>
      <w:pPr>
        <w:spacing w:line="400" w:lineRule="exact"/>
        <w:ind w:firstLine="640" w:firstLineChars="200"/>
        <w:rPr>
          <w:rFonts w:ascii="仿宋_GB2312" w:eastAsia="仿宋_GB2312"/>
          <w:sz w:val="32"/>
          <w:szCs w:val="32"/>
        </w:rPr>
      </w:pPr>
    </w:p>
    <w:p>
      <w:pPr>
        <w:pStyle w:val="3"/>
        <w:ind w:left="1680"/>
        <w:rPr>
          <w:rFonts w:hint="eastAsia"/>
        </w:rPr>
      </w:pPr>
    </w:p>
    <w:p>
      <w:pPr>
        <w:rPr>
          <w:rFonts w:hint="eastAsia"/>
        </w:rPr>
      </w:pPr>
    </w:p>
    <w:p>
      <w:pPr>
        <w:pStyle w:val="2"/>
        <w:rPr>
          <w:rFonts w:hint="eastAsia"/>
        </w:rPr>
      </w:pPr>
    </w:p>
    <w:tbl>
      <w:tblPr>
        <w:tblStyle w:val="88"/>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261" w:type="dxa"/>
            <w:noWrap w:val="0"/>
            <w:vAlign w:val="center"/>
          </w:tcPr>
          <w:p>
            <w:pPr>
              <w:spacing w:line="600" w:lineRule="exact"/>
              <w:jc w:val="center"/>
              <w:rPr>
                <w:rFonts w:ascii="仿宋_GB2312" w:eastAsia="仿宋_GB2312"/>
                <w:sz w:val="32"/>
                <w:szCs w:val="32"/>
              </w:rPr>
            </w:pPr>
            <w:r>
              <w:rPr>
                <w:rFonts w:hint="eastAsia" w:ascii="仿宋_GB2312" w:eastAsia="仿宋_GB2312"/>
                <w:sz w:val="32"/>
                <w:szCs w:val="32"/>
              </w:rPr>
              <w:t>中共湖南省委网络安全</w:t>
            </w:r>
          </w:p>
          <w:p>
            <w:pPr>
              <w:spacing w:line="600" w:lineRule="exact"/>
              <w:jc w:val="center"/>
              <w:rPr>
                <w:rFonts w:ascii="仿宋_GB2312" w:eastAsia="仿宋_GB2312"/>
                <w:sz w:val="32"/>
                <w:szCs w:val="32"/>
              </w:rPr>
            </w:pPr>
            <w:r>
              <w:rPr>
                <w:rFonts w:hint="eastAsia" w:ascii="仿宋_GB2312" w:eastAsia="仿宋_GB2312"/>
                <w:sz w:val="32"/>
                <w:szCs w:val="32"/>
              </w:rPr>
              <w:t>和信息化委员会办公室</w:t>
            </w:r>
          </w:p>
        </w:tc>
        <w:tc>
          <w:tcPr>
            <w:tcW w:w="4261" w:type="dxa"/>
            <w:noWrap w:val="0"/>
            <w:vAlign w:val="center"/>
          </w:tcPr>
          <w:p>
            <w:pPr>
              <w:spacing w:line="600" w:lineRule="exact"/>
              <w:jc w:val="center"/>
              <w:rPr>
                <w:rFonts w:ascii="仿宋_GB2312" w:eastAsia="仿宋_GB2312"/>
                <w:spacing w:val="-12"/>
                <w:sz w:val="32"/>
                <w:szCs w:val="32"/>
              </w:rPr>
            </w:pPr>
            <w:r>
              <w:rPr>
                <w:rFonts w:hint="eastAsia" w:ascii="仿宋_GB2312" w:eastAsia="仿宋_GB2312"/>
                <w:spacing w:val="-12"/>
                <w:sz w:val="32"/>
                <w:szCs w:val="32"/>
              </w:rPr>
              <w:t>湖南省人力资源和社会保障厅</w:t>
            </w:r>
          </w:p>
        </w:tc>
      </w:tr>
    </w:tbl>
    <w:p>
      <w:pPr>
        <w:pStyle w:val="3"/>
        <w:ind w:left="1680"/>
        <w:rPr>
          <w:rFonts w:hint="eastAsia"/>
        </w:rPr>
      </w:pPr>
    </w:p>
    <w:p>
      <w:pPr>
        <w:spacing w:line="600" w:lineRule="exact"/>
        <w:rPr>
          <w:rFonts w:hint="eastAsia" w:ascii="仿宋_GB2312" w:eastAsia="仿宋_GB2312"/>
          <w:sz w:val="32"/>
          <w:szCs w:val="32"/>
        </w:rPr>
      </w:pPr>
      <w:r>
        <w:rPr>
          <w:rFonts w:hint="eastAsia" w:ascii="仿宋_GB2312" w:eastAsia="仿宋_GB2312"/>
          <w:sz w:val="32"/>
          <w:szCs w:val="32"/>
        </w:rPr>
        <w:t xml:space="preserve">                  2022年4月26日</w:t>
      </w:r>
    </w:p>
    <w:p>
      <w:pPr>
        <w:pStyle w:val="2"/>
        <w:rPr>
          <w:rFonts w:hint="eastAsia"/>
          <w:lang w:val="en-US" w:eastAsia="zh-CN"/>
        </w:rPr>
      </w:pPr>
    </w:p>
    <w:p>
      <w:pPr>
        <w:pStyle w:val="2"/>
        <w:spacing w:line="592" w:lineRule="exact"/>
        <w:rPr>
          <w:lang w:val="en-US" w:eastAsia="zh-CN"/>
        </w:rPr>
      </w:pPr>
    </w:p>
    <w:p>
      <w:pPr>
        <w:ind w:firstLine="835" w:firstLineChars="261"/>
        <w:rPr>
          <w:rFonts w:hint="eastAsia" w:eastAsia="仿宋_GB2312"/>
          <w:sz w:val="32"/>
        </w:rPr>
      </w:pPr>
      <w:r>
        <w:rPr>
          <w:rFonts w:hint="eastAsia" w:eastAsia="仿宋_GB2312"/>
          <w:sz w:val="32"/>
        </w:rPr>
        <w:t>（此件主动公开）</w:t>
      </w:r>
    </w:p>
    <w:p>
      <w:pPr>
        <w:spacing w:line="592" w:lineRule="exact"/>
        <w:ind w:firstLine="835" w:firstLineChars="261"/>
        <w:rPr>
          <w:rFonts w:hint="eastAsia" w:eastAsia="仿宋_GB2312"/>
          <w:sz w:val="32"/>
        </w:rPr>
      </w:pPr>
      <w:r>
        <w:rPr>
          <w:rFonts w:hint="eastAsia" w:eastAsia="仿宋_GB2312"/>
          <w:sz w:val="32"/>
        </w:rPr>
        <w:t>（联系单位：省委网信办人事处）</w:t>
      </w:r>
    </w:p>
    <w:p>
      <w:pPr>
        <w:pStyle w:val="3"/>
        <w:ind w:left="1680"/>
      </w:pPr>
    </w:p>
    <w:p>
      <w:pPr>
        <w:rPr>
          <w:rFonts w:ascii="仿宋_GB2312" w:eastAsia="仿宋_GB2312"/>
          <w:sz w:val="32"/>
          <w:szCs w:val="32"/>
          <w:lang w:val="en"/>
        </w:rPr>
      </w:pPr>
    </w:p>
    <w:p>
      <w:pPr>
        <w:pStyle w:val="2"/>
        <w:rPr>
          <w:rFonts w:ascii="仿宋_GB2312" w:eastAsia="仿宋_GB2312"/>
          <w:sz w:val="32"/>
          <w:szCs w:val="32"/>
          <w:lang w:val="en"/>
        </w:rPr>
      </w:pPr>
    </w:p>
    <w:p>
      <w:pPr>
        <w:pStyle w:val="3"/>
        <w:ind w:left="1680"/>
        <w:rPr>
          <w:rFonts w:ascii="仿宋_GB2312" w:eastAsia="仿宋_GB2312"/>
          <w:sz w:val="32"/>
          <w:szCs w:val="32"/>
          <w:lang w:val="en"/>
        </w:rPr>
      </w:pPr>
    </w:p>
    <w:p>
      <w:pPr>
        <w:rPr>
          <w:rFonts w:ascii="仿宋_GB2312" w:eastAsia="仿宋_GB2312"/>
          <w:sz w:val="32"/>
          <w:szCs w:val="32"/>
          <w:lang w:val="en"/>
        </w:rPr>
      </w:pPr>
    </w:p>
    <w:p>
      <w:pPr>
        <w:pStyle w:val="2"/>
        <w:rPr>
          <w:rFonts w:ascii="仿宋_GB2312" w:eastAsia="仿宋_GB2312"/>
          <w:sz w:val="32"/>
          <w:szCs w:val="32"/>
          <w:lang w:val="en"/>
        </w:rPr>
      </w:pPr>
    </w:p>
    <w:p>
      <w:pPr>
        <w:pStyle w:val="3"/>
        <w:ind w:left="1680"/>
        <w:rPr>
          <w:lang w:val="en"/>
        </w:rPr>
      </w:pPr>
    </w:p>
    <w:p>
      <w:pPr>
        <w:rPr>
          <w:lang w:val="en"/>
        </w:rPr>
      </w:pPr>
    </w:p>
    <w:p>
      <w:pPr>
        <w:pStyle w:val="2"/>
        <w:rPr>
          <w:lang w:val="en"/>
        </w:rPr>
      </w:pPr>
    </w:p>
    <w:p>
      <w:pPr>
        <w:pStyle w:val="3"/>
        <w:ind w:left="1680"/>
        <w:rPr>
          <w:lang w:val="en"/>
        </w:rPr>
        <w:sectPr>
          <w:headerReference r:id="rId3" w:type="default"/>
          <w:footerReference r:id="rId4" w:type="default"/>
          <w:pgSz w:w="11906" w:h="16838"/>
          <w:pgMar w:top="1701" w:right="1701" w:bottom="1418" w:left="1701" w:header="851" w:footer="992" w:gutter="0"/>
          <w:cols w:space="720" w:num="1"/>
          <w:docGrid w:type="lines" w:linePitch="312" w:charSpace="0"/>
        </w:sectPr>
      </w:pPr>
    </w:p>
    <w:p>
      <w:pPr>
        <w:spacing w:line="600" w:lineRule="exact"/>
        <w:jc w:val="center"/>
        <w:rPr>
          <w:rFonts w:ascii="方正小标宋简体" w:hAnsi="方正小标宋简体" w:eastAsia="方正小标宋简体"/>
          <w:sz w:val="44"/>
          <w:szCs w:val="44"/>
        </w:rPr>
      </w:pPr>
    </w:p>
    <w:p>
      <w:pPr>
        <w:spacing w:line="582"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湖南省网信工程专业</w:t>
      </w:r>
    </w:p>
    <w:p>
      <w:pPr>
        <w:spacing w:line="582"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职称申报评价办法（试行）</w:t>
      </w:r>
    </w:p>
    <w:p>
      <w:pPr>
        <w:spacing w:after="156" w:afterLines="50" w:line="582" w:lineRule="exact"/>
        <w:jc w:val="center"/>
        <w:rPr>
          <w:rFonts w:ascii="黑体" w:hAnsi="黑体" w:eastAsia="黑体"/>
          <w:sz w:val="32"/>
          <w:szCs w:val="32"/>
        </w:rPr>
      </w:pPr>
    </w:p>
    <w:p>
      <w:pPr>
        <w:spacing w:after="156" w:afterLines="50" w:line="582" w:lineRule="exact"/>
        <w:jc w:val="center"/>
        <w:rPr>
          <w:rFonts w:ascii="黑体" w:hAnsi="黑体" w:eastAsia="黑体"/>
          <w:sz w:val="32"/>
          <w:szCs w:val="32"/>
        </w:rPr>
      </w:pPr>
      <w:r>
        <w:rPr>
          <w:rFonts w:hint="eastAsia" w:ascii="黑体" w:hAnsi="黑体" w:eastAsia="黑体"/>
          <w:sz w:val="32"/>
          <w:szCs w:val="32"/>
        </w:rPr>
        <w:t>第一章  总 则</w:t>
      </w:r>
    </w:p>
    <w:p>
      <w:pPr>
        <w:spacing w:line="582"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为进一步加强网络安全和信息化（以下简称“网信”）专业技术人才队伍建设，根据《职称评审管理暂行规定》（人社部令第40号）、《人力资源社会保障部 工业和信息化部关于深化工程技术人才职称制度改革的指导意见》（人社部发〔2019〕16 号）、《中共湖南省委办公厅 湖南省人民政府办公厅印发&lt;关于深化职称制度改革的实施意见&gt;的通知》（湘办发〔2017〕33 号）等文件精神，结合我省网信工程专业技术人员队伍建设和专业特点，制定本办法。</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办法适用于从事网络空间安全、网络技术应用、互联网治理等网信工程专业领域工作的技术人员申报职称（不包括公务员和参照公务员法管理人员）。申报职称截止日前已达退休年龄或已退休的专业技术人员不再参加职称评审。以下情况除外：</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（一）已达退休年龄但按规定办理了延长退休年龄手续、仍在职在岗的专业技术人员。</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（二）非公有制经济组织、社会组织及自由职业专业技术人员（含港澳台人才、外籍人才）申报职称可放宽至 65 周岁（时间计算到申报年度12月31日）。事业单位和国有企业专业技术人员正式办理退休手续后，须在民营企业工作满 1 年方可申报职称，且新取得的职称不与原单位相关待遇挂钩。</w:t>
      </w:r>
    </w:p>
    <w:p>
      <w:pPr>
        <w:spacing w:line="582"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网信工程专业职称分为初级（包括员级和助理级）、中级、高级（包括副高级和正高级）三个层级，其名称依次为：技术员、助理工程师、工程师、高级工程师、正高级工程师。网信工程专业职称下设网络空间安全、网络技术应用、互联网治理等子专业。</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网信工程专业正高级工程师申报评价办法由相关部门另行规定。</w:t>
      </w:r>
    </w:p>
    <w:p>
      <w:pPr>
        <w:spacing w:line="58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sz w:val="32"/>
          <w:szCs w:val="32"/>
        </w:rPr>
        <w:t xml:space="preserve">  </w:t>
      </w:r>
      <w:r>
        <w:rPr>
          <w:rFonts w:hint="eastAsia" w:ascii="仿宋_GB2312" w:hAnsi="仿宋_GB2312" w:eastAsia="仿宋_GB2312" w:cs="仿宋_GB2312"/>
          <w:sz w:val="32"/>
          <w:szCs w:val="32"/>
        </w:rPr>
        <w:t>网信工程专业职称申报评价应围绕推进网络强省建设对网信工作的新要求，遵循网信工程专业技术人员队伍建设规律，完善网信工程专业职称制度，科学、客观、公正地评价网信工程专业技术人员业务能力和服务水平，充分发挥网信工程专业技术人员在推进网络强省建设中的重要作用。</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（一）坚持遵循规律。遵循网信工程专业技术人员成长规律，统筹设计网信工程专业职称制度，建立适应发展需要的动态调整机制，引导网信工程专业技术人员提升理论水平，拓展专业能力。</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（二）坚持科学评价。突出评价职业道德、能力素质和工作业绩，分级分类完善评价标准，创新评价机制，丰富评价方式，科学客观公正评价网信工程专业技术人员。</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（三）注重评用结合。将网信工程专业技术人员评价与培养、使用相结合，鼓励用人单位将选人用人制度与网信工程专业职称制度有机衔接，促进网信工程专业技术人员职业发展。</w:t>
      </w:r>
    </w:p>
    <w:p>
      <w:pPr>
        <w:spacing w:line="58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sz w:val="32"/>
          <w:szCs w:val="32"/>
        </w:rPr>
        <w:t xml:space="preserve">  </w:t>
      </w:r>
      <w:r>
        <w:rPr>
          <w:rFonts w:hint="eastAsia" w:ascii="仿宋_GB2312" w:hAnsi="仿宋_GB2312" w:eastAsia="仿宋_GB2312" w:cs="仿宋_GB2312"/>
          <w:sz w:val="32"/>
          <w:szCs w:val="32"/>
        </w:rPr>
        <w:t>推进网信工程专业职称评审改革创新。</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（一）完善评价标准</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德才兼备，以德为先。把政治品德和职业道德放在评价标准的首位，要求网信工程专业技术人员坚决拥护中国共产党领导、拥护社会主义法治。遵守宪法和法律，恪守职业道德和执业纪律，爱岗敬业，科学公正，勤勉尽责。通过个人述职、年度考核等方式加强对职业道德、从业操守等方面的评价，强化网信工程专业技术人员的社会责任，对学术和执业不端行为实行“零容忍”。</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突出对能力水平和实际贡献的评价。充分体现网信工程专业技术人员职业特点，突出评价专业能力、业绩和贡献。破除唯论文、唯学历、唯资历、唯奖项倾向，分类完善网信工程专业技术人员评价标准。改变在成果评价中过分依赖论文、论著的局面，推行代表作制度，建立成果代表作清单，注重代表性成果的质量、贡献和影响力。对于网信工程专业技术人员，重点考察成果质量，注重实际贡献。引导网信工程专业技术人员不断更新知识，创新思路，提高专业素养，积极投身网络强省建设。</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（二）创新评价机制</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1.丰富职称评价方式。通过考试考核、个人述职、面试答辩、业绩展示、抽样评估等多种评价方式开展评价。为涉密部门和特殊技术人才开辟特殊通道，采取特殊评价办法。</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畅通职称申报渠道。进一步打破户籍、地域、身份、档案等限制，畅通网信工程专业技术人员的职称申报渠道。建立职称评审绿色通道，对在推进网络强省建设中作出重大贡献，长期在艰苦边远地区工作的网信工程专业技术人员，适当放宽学历、科研能力要求，重点考察工作业绩。对引进的海外高层次人才和急需紧缺人才，放宽资历和任职年限要求，注重业绩、能力、贡献评价，可直接申报评审高级职称。网信工程专业职称评审一般每年度组织开展一次。</w:t>
      </w:r>
    </w:p>
    <w:p>
      <w:pPr>
        <w:spacing w:line="582" w:lineRule="exact"/>
        <w:jc w:val="center"/>
        <w:rPr>
          <w:rFonts w:ascii="黑体" w:hAnsi="黑体" w:eastAsia="黑体"/>
          <w:sz w:val="32"/>
          <w:szCs w:val="32"/>
        </w:rPr>
      </w:pPr>
    </w:p>
    <w:p>
      <w:pPr>
        <w:spacing w:before="156" w:beforeLines="50" w:after="156" w:afterLines="50" w:line="582" w:lineRule="exact"/>
        <w:jc w:val="center"/>
        <w:rPr>
          <w:rFonts w:ascii="黑体" w:hAnsi="黑体" w:eastAsia="黑体"/>
          <w:sz w:val="32"/>
          <w:szCs w:val="32"/>
        </w:rPr>
      </w:pPr>
      <w:r>
        <w:rPr>
          <w:rFonts w:hint="eastAsia" w:ascii="黑体" w:hAnsi="黑体" w:eastAsia="黑体"/>
          <w:sz w:val="32"/>
          <w:szCs w:val="32"/>
        </w:rPr>
        <w:t>第二章  申报范围</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网络空间安全专业类，主要适用于从事：</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（一）网络空间安全相关基础性技术、前沿技术、关键技术研究等工作的专业技术人员；</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（二）网络空间安全相关产品设计、开发、生产等工作的专业技术人员；</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（三）网络空间安全相关风险评估、安全测评、产品检测、安全运维、应急响应、标准规范编制、数据安全保障、安全监管、安全培训等工作的专业技术人员。</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网络技术应用专业类，主要适用于从事互联网、人工智能、大数据、区块链、云计算、新一代移动通信技术、物联网等新技术的行业管理、开发应用、技术服务等工作的专业技术人员。</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互联网治理专业类，主要适用于从事：</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（一）互联网治理相关技术与法律法规研究等工作的专业技术人员；</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（二）网络内容建设与管理等工作的专业技术人员；</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（三）网络内容质量控制与优化等工作的专业技术人员。</w:t>
      </w:r>
    </w:p>
    <w:p>
      <w:pPr>
        <w:spacing w:line="582" w:lineRule="exact"/>
        <w:jc w:val="center"/>
        <w:rPr>
          <w:rFonts w:ascii="黑体" w:hAnsi="黑体" w:eastAsia="黑体"/>
          <w:sz w:val="32"/>
          <w:szCs w:val="32"/>
        </w:rPr>
      </w:pPr>
    </w:p>
    <w:p>
      <w:pPr>
        <w:spacing w:before="156" w:beforeLines="50" w:after="156" w:afterLines="50" w:line="582" w:lineRule="exact"/>
        <w:jc w:val="center"/>
        <w:rPr>
          <w:rFonts w:ascii="黑体" w:hAnsi="黑体" w:eastAsia="黑体"/>
          <w:sz w:val="32"/>
          <w:szCs w:val="32"/>
        </w:rPr>
      </w:pPr>
      <w:r>
        <w:rPr>
          <w:rFonts w:hint="eastAsia" w:ascii="黑体" w:hAnsi="黑体" w:eastAsia="黑体"/>
          <w:sz w:val="32"/>
          <w:szCs w:val="32"/>
        </w:rPr>
        <w:t>第三章  申报基本条件</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拥护中国共产党的领导，遵守《中华人民共和国宪法》和法律法规，具有良好的职业道德、敬业精神，热爱本职工作，认真履行职责，恪守科研诚信，积极为网信事业发展服务。</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学历与资历条件</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（一）高级工程师</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须具备下列条件之一：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1.博士后人员经考核合格出站后，从事网信工程专业技术工作。</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2.具备博士学位，取得工程师职称后，从事网信工程专业技术工作2年以上。</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3.具备硕士学位，或第二学士学位，或大学本科学历，或学士学位，或技工院校预备技师（技师）班毕业，取得工程师职称后，从事网信工程专业技术工作5年以上。</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4.具备大学专科学历，或技工院校高级工班毕业，长期（15年以上）在民营企业或县以下企事业单位工作，取得工程师职称后，从事网信工程专业技术工作7年以上。</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5.一线工程技术类高技能人才获得高级技师（一级）职业资格或职业技能等级后，从事网信工程专业技术工作4年以上，并经所在单位考核推荐。</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（二）工程师</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须具备下列条件之一：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1.具备博士学位，从事网信工程专业技术工作。</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2.具备硕士学位或第二学士学位，取得助理工程师职称后，从事网信工程专业技术工作2年以上。</w:t>
      </w:r>
    </w:p>
    <w:p>
      <w:pPr>
        <w:spacing w:line="582" w:lineRule="exact"/>
        <w:ind w:firstLine="640" w:firstLineChars="200"/>
        <w:rPr>
          <w:rFonts w:ascii="仿宋_GB2312" w:eastAsia="仿宋_GB2312"/>
          <w:spacing w:val="-12"/>
          <w:sz w:val="32"/>
          <w:szCs w:val="32"/>
        </w:rPr>
      </w:pPr>
      <w:r>
        <w:rPr>
          <w:rFonts w:hint="eastAsia" w:ascii="仿宋_GB2312" w:eastAsia="仿宋_GB2312"/>
          <w:sz w:val="32"/>
          <w:szCs w:val="32"/>
        </w:rPr>
        <w:t>3.具备大学本科学历，或学士学位，或技工院校预备技师（技师）班毕业；或大学专科学历，或技工院校高级工班毕业，</w:t>
      </w:r>
      <w:r>
        <w:rPr>
          <w:rFonts w:hint="eastAsia" w:ascii="仿宋_GB2312" w:eastAsia="仿宋_GB2312"/>
          <w:spacing w:val="-12"/>
          <w:sz w:val="32"/>
          <w:szCs w:val="32"/>
        </w:rPr>
        <w:t>取得助理工程师职称后，从事网信工程专业技术工作4年以上。</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4.一线工程技术类高技能人才获得技师（二级）职业资格或职业技能等级后，从事网信工程专业技术工作3年以上，并经所在单位考核推荐。</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（三）助理工程师</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须具备下列条件之一：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1.具备硕士学位或第二学士学位，从事网信工程专业技术工作。</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2.具备大学本科学历，或学士学位，或技工院校预备技师（技师）班毕业，在网信工程专业技术岗位见习1年期满，经考察合格。</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3.具备大学专科学历，或技工院校高级工班毕业，取得技术员职称后，从事网信工程专业技术工作2年以上。</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4.具备中等职业学校毕业学历，或技工院校中级工班毕业，取得技术员职称后，从事网信工程专业技术工作4年以上。</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5.一线工程技术类高技能人才获得高级工职业资格或职业技能等级后，从事网信工程专业技术工作2年以上，并经所在单位考核推荐。</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（四）技术员</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须具备下列条件之一：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1.具备大学本科学历，或学士学位，或技工院校预备技师（技师）班毕业，从事网信工程专业技术工作。</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2.具备大学专科学历，或技工院校高级工班毕业；或中等职业学校毕业学历，或技工院校中级工班毕业，在网信工程专业技术岗位见习1年期满，经考察合格。</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其他相关要求</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申报前连续累计所需资历年限的年度考核结果一般应为“合格”以上。年度考核结果由</w:t>
      </w:r>
      <w:r>
        <w:rPr>
          <w:rFonts w:hint="eastAsia" w:ascii="仿宋_GB2312" w:eastAsia="仿宋_GB2312"/>
          <w:sz w:val="32"/>
          <w:szCs w:val="32"/>
        </w:rPr>
        <w:t>评审委员会</w:t>
      </w:r>
      <w:r>
        <w:rPr>
          <w:rFonts w:ascii="仿宋_GB2312" w:eastAsia="仿宋_GB2312"/>
          <w:sz w:val="32"/>
          <w:szCs w:val="32"/>
        </w:rPr>
        <w:t>评议，可在量化评审环节作为现实表现</w:t>
      </w:r>
      <w:r>
        <w:rPr>
          <w:rFonts w:hint="eastAsia" w:ascii="仿宋_GB2312" w:eastAsia="仿宋_GB2312"/>
          <w:sz w:val="32"/>
          <w:szCs w:val="32"/>
        </w:rPr>
        <w:t>或</w:t>
      </w:r>
      <w:r>
        <w:rPr>
          <w:rFonts w:ascii="仿宋_GB2312" w:eastAsia="仿宋_GB2312"/>
          <w:sz w:val="32"/>
          <w:szCs w:val="32"/>
        </w:rPr>
        <w:t>工作业绩，赋予评价权重进行量化加减分，也可作为“一票否决”的评议内容。</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事业单位人员受到行政处分记过</w:t>
      </w:r>
      <w:r>
        <w:rPr>
          <w:rFonts w:hint="eastAsia" w:ascii="仿宋_GB2312" w:eastAsia="仿宋_GB2312"/>
          <w:sz w:val="32"/>
          <w:szCs w:val="32"/>
        </w:rPr>
        <w:t>或</w:t>
      </w:r>
      <w:r>
        <w:rPr>
          <w:rFonts w:ascii="仿宋_GB2312" w:eastAsia="仿宋_GB2312"/>
          <w:sz w:val="32"/>
          <w:szCs w:val="32"/>
        </w:rPr>
        <w:t>党纪处分严重警告以上处分的，在受处分期间不得申报参加职称评审。因涉嫌经济</w:t>
      </w:r>
      <w:r>
        <w:rPr>
          <w:rFonts w:hint="eastAsia" w:ascii="仿宋_GB2312" w:eastAsia="仿宋_GB2312"/>
          <w:sz w:val="32"/>
          <w:szCs w:val="32"/>
        </w:rPr>
        <w:t>或</w:t>
      </w:r>
      <w:r>
        <w:rPr>
          <w:rFonts w:ascii="仿宋_GB2312" w:eastAsia="仿宋_GB2312"/>
          <w:sz w:val="32"/>
          <w:szCs w:val="32"/>
        </w:rPr>
        <w:t>其它重大问题正在立案审查尚未结案，</w:t>
      </w:r>
      <w:r>
        <w:rPr>
          <w:rFonts w:hint="eastAsia" w:ascii="仿宋_GB2312" w:eastAsia="仿宋_GB2312"/>
          <w:sz w:val="32"/>
          <w:szCs w:val="32"/>
        </w:rPr>
        <w:t>或</w:t>
      </w:r>
      <w:r>
        <w:rPr>
          <w:rFonts w:ascii="仿宋_GB2312" w:eastAsia="仿宋_GB2312"/>
          <w:sz w:val="32"/>
          <w:szCs w:val="32"/>
        </w:rPr>
        <w:t>被采取强制措施和受刑事处罚期间的，不得申报参加职称评审。</w:t>
      </w:r>
    </w:p>
    <w:p>
      <w:pPr>
        <w:spacing w:line="582" w:lineRule="exact"/>
        <w:ind w:firstLine="640" w:firstLineChars="200"/>
        <w:rPr>
          <w:rFonts w:hint="eastAsia" w:ascii="仿宋_GB2312" w:eastAsia="仿宋_GB2312"/>
          <w:spacing w:val="-12"/>
          <w:sz w:val="32"/>
          <w:szCs w:val="32"/>
        </w:rPr>
      </w:pPr>
      <w:r>
        <w:rPr>
          <w:rFonts w:hint="eastAsia" w:ascii="仿宋_GB2312" w:eastAsia="仿宋_GB2312"/>
          <w:sz w:val="32"/>
          <w:szCs w:val="32"/>
        </w:rPr>
        <w:t>（三）民营企业和其他非公有制经济组织、社会组织及自由职业专业技术人才职称评审优惠政策按《人力资源社会保障部办公厅关于进一步做好民营企业职称工作的通知》（人社厅发〔2020〕13号）、《湖南省创新民营企业专业技术人才职</w:t>
      </w:r>
      <w:r>
        <w:rPr>
          <w:rFonts w:hint="eastAsia" w:ascii="仿宋_GB2312" w:eastAsia="仿宋_GB2312"/>
          <w:spacing w:val="-12"/>
          <w:sz w:val="32"/>
          <w:szCs w:val="32"/>
        </w:rPr>
        <w:t xml:space="preserve">称评审10条措施》（湘人社发〔2019〕67号）等有关规定执行。 </w:t>
      </w:r>
    </w:p>
    <w:p>
      <w:pPr>
        <w:spacing w:line="582" w:lineRule="exact"/>
        <w:ind w:firstLine="640" w:firstLineChars="200"/>
        <w:rPr>
          <w:rFonts w:ascii="仿宋_GB2312" w:eastAsia="仿宋_GB2312"/>
          <w:spacing w:val="-12"/>
          <w:sz w:val="32"/>
          <w:szCs w:val="32"/>
        </w:rPr>
      </w:pPr>
      <w:r>
        <w:rPr>
          <w:rFonts w:hint="eastAsia" w:ascii="仿宋_GB2312" w:eastAsia="仿宋_GB2312"/>
          <w:sz w:val="32"/>
          <w:szCs w:val="32"/>
        </w:rPr>
        <w:t>（四）</w:t>
      </w:r>
      <w:r>
        <w:rPr>
          <w:rFonts w:eastAsia="仿宋_GB2312"/>
          <w:sz w:val="32"/>
          <w:szCs w:val="32"/>
        </w:rPr>
        <w:t>党政机关（含参照公务员法管理单位）和部队转业调入转入企事业单位从事专业技术工作的人员，首次申报参评</w:t>
      </w:r>
      <w:r>
        <w:rPr>
          <w:rFonts w:ascii="仿宋_GB2312" w:eastAsia="仿宋_GB2312"/>
          <w:spacing w:val="-12"/>
          <w:sz w:val="32"/>
          <w:szCs w:val="32"/>
        </w:rPr>
        <w:t>职称，不受资历、原有无职称限制，比照我省同类专技人才的条件执行，其在原单位取得的工作业绩与成果视为专业技术业绩。</w:t>
      </w:r>
    </w:p>
    <w:p>
      <w:pPr>
        <w:spacing w:line="582" w:lineRule="exact"/>
        <w:jc w:val="center"/>
        <w:rPr>
          <w:rFonts w:ascii="仿宋_GB2312" w:hAnsi="宋体" w:eastAsia="仿宋_GB2312" w:cs="仿宋_GB2312"/>
          <w:color w:val="000000"/>
          <w:kern w:val="0"/>
          <w:sz w:val="31"/>
          <w:szCs w:val="31"/>
        </w:rPr>
      </w:pPr>
    </w:p>
    <w:p>
      <w:pPr>
        <w:spacing w:before="156" w:beforeLines="50" w:after="156" w:afterLines="50" w:line="582" w:lineRule="exact"/>
        <w:jc w:val="center"/>
        <w:rPr>
          <w:rFonts w:ascii="黑体" w:hAnsi="黑体" w:eastAsia="黑体"/>
          <w:sz w:val="32"/>
          <w:szCs w:val="32"/>
        </w:rPr>
      </w:pPr>
      <w:r>
        <w:rPr>
          <w:rFonts w:hint="eastAsia" w:ascii="黑体" w:hAnsi="黑体" w:eastAsia="黑体"/>
          <w:sz w:val="32"/>
          <w:szCs w:val="32"/>
        </w:rPr>
        <w:t>第四章  评价基本标准</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专业能力、论文著作、业绩成果要求</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（一）高级工程师</w:t>
      </w:r>
    </w:p>
    <w:p>
      <w:pPr>
        <w:pStyle w:val="81"/>
        <w:widowControl w:val="0"/>
        <w:shd w:val="clear" w:color="auto" w:fill="FFFFFF"/>
        <w:spacing w:before="0" w:beforeAutospacing="0" w:after="0" w:afterAutospacing="0" w:line="582" w:lineRule="exact"/>
        <w:ind w:firstLine="640" w:firstLineChars="200"/>
        <w:jc w:val="both"/>
        <w:rPr>
          <w:rFonts w:ascii="仿宋_GB2312" w:eastAsia="仿宋_GB2312"/>
          <w:sz w:val="32"/>
          <w:szCs w:val="32"/>
        </w:rPr>
      </w:pPr>
      <w:r>
        <w:rPr>
          <w:rFonts w:hint="eastAsia" w:ascii="仿宋_GB2312" w:eastAsia="仿宋_GB2312"/>
          <w:sz w:val="32"/>
          <w:szCs w:val="32"/>
        </w:rPr>
        <w:t>1.专业能力要求</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系统掌握所申报专业的基础理论和技术知识，掌握国内外专业现状和发展趋势，具有发现、分析和解决实际问题的能力，能够指导、培养中青年学术技术骨干、工程师或研究生的工作学习。此外，担任工程师职务期间还应符合下列条件之一：</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（1）能够承担或组织重要、复杂、关键工程项目的设计，针对关键技术提出试验要求和实施方案，并能够解决设计中的技术难题。</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（2）能够承担或组织重要、复杂产品或工程项目的实施，并能够解决生产过程中的技术难题。</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（3）能够承担或组织重要、复杂、关键的研究课题，提出或审定关键技术发展规划及分析论证报告。</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（4）能够开展引进国外先进技术产品的调研，并提出可行性分析论证报告，能够对产品进行消化、吸收、改进、创新、推广。</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2.论文著作要求</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担任工程师职务期间，应当具备下列条件之一：</w:t>
      </w:r>
    </w:p>
    <w:p>
      <w:pPr>
        <w:spacing w:line="582" w:lineRule="exact"/>
        <w:ind w:firstLine="672" w:firstLineChars="200"/>
        <w:rPr>
          <w:rFonts w:ascii="仿宋_GB2312" w:hAnsi="微软雅黑" w:eastAsia="仿宋_GB2312"/>
          <w:spacing w:val="8"/>
          <w:sz w:val="32"/>
          <w:szCs w:val="32"/>
        </w:rPr>
      </w:pPr>
      <w:r>
        <w:rPr>
          <w:rFonts w:hint="eastAsia" w:ascii="仿宋_GB2312" w:hAnsi="微软雅黑" w:eastAsia="仿宋_GB2312"/>
          <w:spacing w:val="8"/>
          <w:sz w:val="32"/>
          <w:szCs w:val="32"/>
        </w:rPr>
        <w:t>（1）作为主要作者编写并发表网信工程专业著作或译著10万字以上。</w:t>
      </w:r>
    </w:p>
    <w:p>
      <w:pPr>
        <w:spacing w:line="582" w:lineRule="exact"/>
        <w:ind w:firstLine="672" w:firstLineChars="200"/>
        <w:rPr>
          <w:rFonts w:ascii="仿宋_GB2312" w:hAnsi="微软雅黑" w:eastAsia="仿宋_GB2312"/>
          <w:spacing w:val="8"/>
          <w:sz w:val="32"/>
          <w:szCs w:val="32"/>
        </w:rPr>
      </w:pPr>
      <w:r>
        <w:rPr>
          <w:rFonts w:hint="eastAsia" w:ascii="仿宋_GB2312" w:hAnsi="微软雅黑" w:eastAsia="仿宋_GB2312"/>
          <w:spacing w:val="8"/>
          <w:sz w:val="32"/>
          <w:szCs w:val="32"/>
        </w:rPr>
        <w:t>（2）作为第1作者或通讯作者，在学术期刊上公开发表网信工程专业论文或调研报告2篇以上。</w:t>
      </w:r>
    </w:p>
    <w:p>
      <w:pPr>
        <w:spacing w:line="582" w:lineRule="exact"/>
        <w:ind w:firstLine="672" w:firstLineChars="200"/>
        <w:rPr>
          <w:rFonts w:ascii="仿宋_GB2312" w:hAnsi="微软雅黑" w:eastAsia="仿宋_GB2312"/>
          <w:spacing w:val="8"/>
          <w:sz w:val="32"/>
          <w:szCs w:val="32"/>
        </w:rPr>
      </w:pPr>
      <w:r>
        <w:rPr>
          <w:rFonts w:hint="eastAsia" w:ascii="仿宋_GB2312" w:hAnsi="微软雅黑" w:eastAsia="仿宋_GB2312"/>
          <w:spacing w:val="8"/>
          <w:sz w:val="32"/>
          <w:szCs w:val="32"/>
        </w:rPr>
        <w:t>（3）作为第1作者，在省部级以上专业学术会议上发表网信工程专业论文2篇以上。</w:t>
      </w:r>
    </w:p>
    <w:p>
      <w:pPr>
        <w:spacing w:line="582" w:lineRule="exact"/>
        <w:ind w:firstLine="672" w:firstLineChars="200"/>
        <w:rPr>
          <w:rFonts w:ascii="仿宋_GB2312" w:eastAsia="仿宋_GB2312"/>
          <w:sz w:val="32"/>
          <w:szCs w:val="32"/>
        </w:rPr>
      </w:pPr>
      <w:r>
        <w:rPr>
          <w:rFonts w:hint="eastAsia" w:ascii="仿宋_GB2312" w:hAnsi="微软雅黑" w:eastAsia="仿宋_GB2312"/>
          <w:spacing w:val="8"/>
          <w:sz w:val="32"/>
          <w:szCs w:val="32"/>
        </w:rPr>
        <w:t>（4）作为第1作者，撰写网信工程专业领域的单位内部研究报告2篇以上，要求引用数据齐全、结论正确，并经2名以上网信工程或相关专业正高级工程师评议证明，具有较强实用价值。</w:t>
      </w:r>
    </w:p>
    <w:p>
      <w:pPr>
        <w:pStyle w:val="81"/>
        <w:widowControl w:val="0"/>
        <w:shd w:val="clear" w:color="auto" w:fill="FFFFFF"/>
        <w:spacing w:before="0" w:beforeAutospacing="0" w:after="0" w:afterAutospacing="0" w:line="582" w:lineRule="exact"/>
        <w:ind w:firstLine="640" w:firstLineChars="200"/>
        <w:jc w:val="both"/>
        <w:rPr>
          <w:rFonts w:ascii="仿宋_GB2312" w:hAnsi="微软雅黑" w:eastAsia="仿宋_GB2312"/>
          <w:spacing w:val="8"/>
          <w:sz w:val="32"/>
          <w:szCs w:val="32"/>
        </w:rPr>
      </w:pPr>
      <w:r>
        <w:rPr>
          <w:rFonts w:hint="eastAsia" w:ascii="仿宋_GB2312" w:eastAsia="仿宋_GB2312"/>
          <w:sz w:val="32"/>
          <w:szCs w:val="32"/>
        </w:rPr>
        <w:t>（5）主持编写学术报告、研究报告、技术报告等相关研究类刊物提供决策参考，获省部级以上主要领导肯定性批示或采纳应用，具有重要的参考价值和推广价值。</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3.业绩成果要求</w:t>
      </w:r>
    </w:p>
    <w:p>
      <w:pPr>
        <w:spacing w:line="582" w:lineRule="exact"/>
        <w:ind w:firstLine="672" w:firstLineChars="200"/>
        <w:rPr>
          <w:rFonts w:ascii="仿宋_GB2312" w:eastAsia="仿宋_GB2312"/>
          <w:sz w:val="32"/>
          <w:szCs w:val="32"/>
        </w:rPr>
      </w:pPr>
      <w:r>
        <w:rPr>
          <w:rFonts w:hint="eastAsia" w:ascii="仿宋_GB2312" w:hAnsi="微软雅黑" w:eastAsia="仿宋_GB2312"/>
          <w:spacing w:val="8"/>
          <w:sz w:val="32"/>
          <w:szCs w:val="32"/>
        </w:rPr>
        <w:t>担任工程师职务期间</w:t>
      </w:r>
      <w:r>
        <w:rPr>
          <w:rFonts w:hint="eastAsia" w:ascii="仿宋_GB2312" w:eastAsia="仿宋_GB2312"/>
          <w:sz w:val="32"/>
          <w:szCs w:val="32"/>
        </w:rPr>
        <w:t>，</w:t>
      </w:r>
      <w:r>
        <w:rPr>
          <w:rFonts w:hint="eastAsia" w:ascii="仿宋_GB2312" w:hAnsi="微软雅黑" w:eastAsia="仿宋_GB2312"/>
          <w:spacing w:val="8"/>
          <w:sz w:val="32"/>
          <w:szCs w:val="32"/>
        </w:rPr>
        <w:t>应当具备下列条件之一：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（1）凭网信工程专业领域项目，获省部级以上科技奖励三等奖以上，或市厅级科技进步一等奖，或经科技部认定可以推荐国家奖的社会力量科学技术奖最高奖二等奖以上。</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（2）主持或参与完成2项以上省部级以上网信工程专业领域研究课题，并结项。</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参与国家、行业、省部级网信工程专业领域中长期发展规划、重大网信工程专业战略决策及互联网、人工智能、大数据、区块链、云计算、新一代移动通信技术、物联网等网信领域新技术应用等相关法律、法规、政策、规范、标准的制定，并颁布实施。</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4）主持完成本单位网信工程专业领域网络安全等级保护三级以上工程项目或关键信息基础设施的规划和实施工作；负责制定本单位网络安全和信息化管理标准、战略、发展规划、管理制度；或作为网信工程专业领域专业负责人，在项目管理、科研开发、生产经营、技术转让与引进等工作中成效显著。</w:t>
      </w:r>
    </w:p>
    <w:p>
      <w:pPr>
        <w:spacing w:line="582" w:lineRule="exact"/>
        <w:ind w:firstLine="640" w:firstLineChars="200"/>
        <w:rPr>
          <w:rFonts w:ascii="仿宋_GB2312" w:eastAsia="仿宋_GB2312"/>
          <w:spacing w:val="-12"/>
          <w:sz w:val="32"/>
          <w:szCs w:val="32"/>
        </w:rPr>
      </w:pPr>
      <w:r>
        <w:rPr>
          <w:rFonts w:hint="eastAsia" w:ascii="仿宋_GB2312" w:eastAsia="仿宋_GB2312"/>
          <w:sz w:val="32"/>
          <w:szCs w:val="32"/>
        </w:rPr>
        <w:t>（5）主持完成2项以上本单位网信工程专业领域重点项目，为单位取得较好经济效益，合同金额不少于200万；或独立依托国产软硬件环境研发的产品或服务在网络安全等级保护二级以上系统中得到推广应用；或作为主要人员参与成功处</w:t>
      </w:r>
      <w:r>
        <w:rPr>
          <w:rFonts w:hint="eastAsia" w:ascii="仿宋_GB2312" w:eastAsia="仿宋_GB2312"/>
          <w:spacing w:val="-12"/>
          <w:sz w:val="32"/>
          <w:szCs w:val="32"/>
        </w:rPr>
        <w:t>置我省重大网络安全事件5次以上或重大网络舆情事件10次以上，取得较好的社会效益，并得到省级以上网信主管部门认可。</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（6）作为主要完成人（前3名），参与完成网信工程专业领域已授权的发明专利或实用新型专利2项以上。</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（二）工程师</w:t>
      </w:r>
    </w:p>
    <w:p>
      <w:pPr>
        <w:pStyle w:val="81"/>
        <w:widowControl w:val="0"/>
        <w:shd w:val="clear" w:color="auto" w:fill="FFFFFF"/>
        <w:spacing w:before="0" w:beforeAutospacing="0" w:after="0" w:afterAutospacing="0" w:line="582" w:lineRule="exact"/>
        <w:ind w:firstLine="640" w:firstLineChars="200"/>
        <w:jc w:val="both"/>
        <w:rPr>
          <w:rFonts w:ascii="仿宋_GB2312" w:eastAsia="仿宋_GB2312"/>
          <w:sz w:val="32"/>
          <w:szCs w:val="32"/>
        </w:rPr>
      </w:pPr>
      <w:r>
        <w:rPr>
          <w:rFonts w:hint="eastAsia" w:ascii="仿宋_GB2312" w:eastAsia="仿宋_GB2312"/>
          <w:sz w:val="32"/>
          <w:szCs w:val="32"/>
        </w:rPr>
        <w:t>1.专业能力要求</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熟练掌握并能够运用网信工程专业的基础理论和技术知识，熟悉国内外专业现状和发展趋势，能够指导助理工程师工作。此外，在担任助理工程师期间还应符合下列条件之一：</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（1）能够独立承担一般难度的研究设计任务或解决专业技术领域内比较复杂的技术问题。</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（2）能够独立完成一般难度或比较复杂产品的开发。</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（3）能够正确运用通用技术标准和技术规范，具备对引进技术消化吸收和再创新的能力。</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（4）具备一定的分析、判断和总结能力，能够参加中等规模项目的立项调查、局部方案论证、实验研究、技术推广和市场调查等工作，并在其中独立承担某一方面工作。</w:t>
      </w:r>
    </w:p>
    <w:p>
      <w:pPr>
        <w:spacing w:line="582" w:lineRule="exact"/>
        <w:ind w:firstLine="672" w:firstLineChars="200"/>
        <w:rPr>
          <w:rFonts w:ascii="仿宋_GB2312" w:hAnsi="微软雅黑" w:eastAsia="仿宋_GB2312"/>
          <w:spacing w:val="8"/>
          <w:sz w:val="32"/>
          <w:szCs w:val="32"/>
        </w:rPr>
      </w:pPr>
      <w:r>
        <w:rPr>
          <w:rFonts w:hint="eastAsia" w:ascii="仿宋_GB2312" w:hAnsi="微软雅黑" w:eastAsia="仿宋_GB2312"/>
          <w:spacing w:val="8"/>
          <w:sz w:val="32"/>
          <w:szCs w:val="32"/>
        </w:rPr>
        <w:t>（5）能够起草开题报告，提出研究设计方案；能够独立编写技术文件、工程总结，并能校正或审核技术文件。</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2.论文著作要求</w:t>
      </w:r>
    </w:p>
    <w:p>
      <w:pPr>
        <w:pStyle w:val="81"/>
        <w:widowControl w:val="0"/>
        <w:shd w:val="clear" w:color="auto" w:fill="FFFFFF"/>
        <w:spacing w:before="0" w:beforeAutospacing="0" w:after="0" w:afterAutospacing="0" w:line="582" w:lineRule="exact"/>
        <w:ind w:firstLine="672" w:firstLineChars="200"/>
        <w:jc w:val="both"/>
        <w:rPr>
          <w:rFonts w:ascii="仿宋_GB2312" w:hAnsi="微软雅黑" w:eastAsia="仿宋_GB2312"/>
          <w:spacing w:val="8"/>
          <w:sz w:val="32"/>
          <w:szCs w:val="32"/>
        </w:rPr>
      </w:pPr>
      <w:r>
        <w:rPr>
          <w:rFonts w:hint="eastAsia" w:ascii="仿宋_GB2312" w:hAnsi="微软雅黑" w:eastAsia="仿宋_GB2312"/>
          <w:spacing w:val="8"/>
          <w:sz w:val="32"/>
          <w:szCs w:val="32"/>
        </w:rPr>
        <w:t>担任助理工程师职务期间，应当具备下列条件之一：</w:t>
      </w:r>
    </w:p>
    <w:p>
      <w:pPr>
        <w:spacing w:line="582" w:lineRule="exact"/>
        <w:ind w:firstLine="640" w:firstLineChars="200"/>
        <w:rPr>
          <w:rFonts w:ascii="仿宋_GB2312" w:hAnsi="微软雅黑" w:eastAsia="仿宋_GB2312"/>
          <w:spacing w:val="8"/>
          <w:sz w:val="32"/>
          <w:szCs w:val="32"/>
        </w:rPr>
      </w:pPr>
      <w:r>
        <w:rPr>
          <w:rFonts w:hint="eastAsia" w:ascii="仿宋_GB2312" w:eastAsia="仿宋_GB2312"/>
          <w:sz w:val="32"/>
          <w:szCs w:val="32"/>
        </w:rPr>
        <w:t>（1）</w:t>
      </w:r>
      <w:r>
        <w:rPr>
          <w:rFonts w:hint="eastAsia" w:ascii="仿宋_GB2312" w:hAnsi="微软雅黑" w:eastAsia="仿宋_GB2312"/>
          <w:spacing w:val="8"/>
          <w:sz w:val="32"/>
          <w:szCs w:val="32"/>
        </w:rPr>
        <w:t>作为第1、2作者或通讯作者，在学术期刊上公开发表网信工程专业论文或调研报告1篇以上。</w:t>
      </w:r>
    </w:p>
    <w:p>
      <w:pPr>
        <w:spacing w:line="582" w:lineRule="exact"/>
        <w:ind w:firstLine="672" w:firstLineChars="200"/>
        <w:rPr>
          <w:rFonts w:ascii="仿宋_GB2312" w:hAnsi="微软雅黑" w:eastAsia="仿宋_GB2312"/>
          <w:spacing w:val="8"/>
          <w:sz w:val="32"/>
          <w:szCs w:val="32"/>
        </w:rPr>
      </w:pPr>
      <w:r>
        <w:rPr>
          <w:rFonts w:hint="eastAsia" w:ascii="仿宋_GB2312" w:hAnsi="微软雅黑" w:eastAsia="仿宋_GB2312"/>
          <w:spacing w:val="8"/>
          <w:sz w:val="32"/>
          <w:szCs w:val="32"/>
        </w:rPr>
        <w:t>（2）作为第1、2作者，在市厅级以上专业学术会议上发表网信工程专业论文1篇以上。</w:t>
      </w:r>
    </w:p>
    <w:p>
      <w:pPr>
        <w:spacing w:line="582" w:lineRule="exact"/>
        <w:ind w:firstLine="672" w:firstLineChars="200"/>
        <w:rPr>
          <w:rFonts w:ascii="仿宋_GB2312" w:eastAsia="仿宋_GB2312"/>
          <w:sz w:val="32"/>
          <w:szCs w:val="32"/>
        </w:rPr>
      </w:pPr>
      <w:r>
        <w:rPr>
          <w:rFonts w:hint="eastAsia" w:ascii="仿宋_GB2312" w:hAnsi="微软雅黑" w:eastAsia="仿宋_GB2312"/>
          <w:spacing w:val="8"/>
          <w:sz w:val="32"/>
          <w:szCs w:val="32"/>
        </w:rPr>
        <w:t>（3）作为第1作者，撰写网信工程专业领域的单位内部研究报告1篇以上，要求引用数据齐全、结论正确，并经2名以上网信工程或相关专业高级工程师评议证明，具有一定实用价值。</w:t>
      </w:r>
    </w:p>
    <w:p>
      <w:pPr>
        <w:spacing w:line="582" w:lineRule="exact"/>
        <w:ind w:firstLine="640" w:firstLineChars="200"/>
        <w:rPr>
          <w:rFonts w:ascii="仿宋_GB2312" w:hAnsi="微软雅黑" w:eastAsia="仿宋_GB2312"/>
          <w:spacing w:val="8"/>
          <w:sz w:val="32"/>
          <w:szCs w:val="32"/>
        </w:rPr>
      </w:pPr>
      <w:r>
        <w:rPr>
          <w:rFonts w:hint="eastAsia" w:ascii="仿宋_GB2312" w:eastAsia="仿宋_GB2312"/>
          <w:sz w:val="32"/>
          <w:szCs w:val="32"/>
        </w:rPr>
        <w:t>（4）主持编写学术报告、研究报告、技术报告等相关研究类刊物提供决策参考，获市厅级以上主要领导肯定性批示或采纳应用，具有一定的参考价值和推广价值。</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3.业绩成果要求</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担任助理工程师职务后，</w:t>
      </w:r>
      <w:r>
        <w:rPr>
          <w:rFonts w:hint="eastAsia" w:ascii="仿宋_GB2312" w:hAnsi="微软雅黑" w:eastAsia="仿宋_GB2312"/>
          <w:spacing w:val="8"/>
          <w:sz w:val="32"/>
          <w:szCs w:val="32"/>
        </w:rPr>
        <w:t>应当具备下列条件之一：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（1）参与完成1项以上市厅级以上网信工程专业领域相关的研究课题，并结项。</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参与国家、行业、省市网信工程专业领域发展规划、战略决策及互联网、人工智能、大数据、区块链、云计算、新一代移动通信技术、物联网等网信领域相关法律、法规、政策、规范、标准的制定，并颁布实施。</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作为主要完成人（前3名）完成本单位网信工程专业领域网络安全等级保护二级以上工程项目的规划和实施工作，制定本单位网信工程专业管理标准、战略、发展规划、管理制度；或作为子项目专业负责人，在项目管理、科研开发、生产经营、技术转让与引进等工作中成效显著。</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4）独立完成本单位网信工程专业领域项目、产品或服务的设计开发，为单位取得较好经济效益，合同金额不少于50万；或独立依托国产软硬件环境研发的产品或服务得到推广应用；或作为主要人员参与成功处置我省较大网络安全事件5次以上或较大网络舆情事件10次以上，取得较好的社会效益，并得到市级以上网信主管部门认可。</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（5）参与完成网信工程专业领域已授权的发明专利或实用新型专利1项以上。</w:t>
      </w:r>
    </w:p>
    <w:p>
      <w:pPr>
        <w:spacing w:line="58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（三）助理工程师</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专业能力、业绩成果要求。掌握网信工程专业的基础理论知识和专业技术知识，具有独立完成一般性技术工作的实际能力，能够处理本专业范围内一般性技术问题，具有指导技术员工作的能力。</w:t>
      </w:r>
    </w:p>
    <w:p>
      <w:pPr>
        <w:spacing w:line="582" w:lineRule="exact"/>
        <w:ind w:firstLine="640" w:firstLineChars="200"/>
        <w:rPr>
          <w:rFonts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w:t>
      </w:r>
      <w:r>
        <w:rPr>
          <w:rFonts w:eastAsia="仿宋_GB2312"/>
          <w:sz w:val="32"/>
          <w:szCs w:val="32"/>
        </w:rPr>
        <w:t>外语、计算机能力不作为申报职称的必备条件，在量化评审环节，可赋予一定的评价权</w:t>
      </w:r>
      <w:r>
        <w:rPr>
          <w:rFonts w:hint="eastAsia" w:ascii="仿宋" w:hAnsi="仿宋" w:eastAsia="仿宋" w:cs="仿宋"/>
          <w:sz w:val="32"/>
          <w:szCs w:val="32"/>
        </w:rPr>
        <w:t>重或作为</w:t>
      </w:r>
      <w:r>
        <w:rPr>
          <w:rFonts w:eastAsia="仿宋_GB2312"/>
          <w:sz w:val="32"/>
          <w:szCs w:val="32"/>
        </w:rPr>
        <w:t>加分项；用人单位聘任时，可根据岗位特点再作具体规定。根据《专业技术人员继续教育规定》（人社部令</w:t>
      </w:r>
      <w:r>
        <w:rPr>
          <w:rFonts w:hint="eastAsia" w:ascii="仿宋_GB2312" w:eastAsia="仿宋_GB2312"/>
          <w:sz w:val="32"/>
          <w:szCs w:val="32"/>
        </w:rPr>
        <w:t>第25号）要求，专技人才参加继续教育情况需作为申报评定上一级资格的重要条件，原则上要求提供《湖南省专业技术人员继续教育</w:t>
      </w:r>
      <w:r>
        <w:rPr>
          <w:rFonts w:eastAsia="仿宋_GB2312"/>
          <w:sz w:val="32"/>
          <w:szCs w:val="32"/>
        </w:rPr>
        <w:t>学时</w:t>
      </w:r>
      <w:r>
        <w:rPr>
          <w:rFonts w:hint="eastAsia" w:eastAsia="仿宋_GB2312"/>
          <w:sz w:val="32"/>
          <w:szCs w:val="32"/>
        </w:rPr>
        <w:t>认定</w:t>
      </w:r>
      <w:r>
        <w:rPr>
          <w:rFonts w:eastAsia="仿宋_GB2312"/>
          <w:sz w:val="32"/>
          <w:szCs w:val="32"/>
        </w:rPr>
        <w:t>单》。</w:t>
      </w:r>
    </w:p>
    <w:p>
      <w:pPr>
        <w:pStyle w:val="3"/>
        <w:spacing w:line="582" w:lineRule="exact"/>
        <w:ind w:left="1680"/>
      </w:pPr>
    </w:p>
    <w:p>
      <w:pPr>
        <w:spacing w:before="156" w:beforeLines="50" w:after="156" w:afterLines="50" w:line="582" w:lineRule="exact"/>
        <w:jc w:val="center"/>
        <w:rPr>
          <w:rFonts w:ascii="黑体" w:hAnsi="黑体" w:eastAsia="黑体"/>
          <w:sz w:val="32"/>
          <w:szCs w:val="32"/>
        </w:rPr>
      </w:pPr>
      <w:r>
        <w:rPr>
          <w:rFonts w:hint="eastAsia" w:ascii="黑体" w:hAnsi="黑体" w:eastAsia="黑体"/>
          <w:sz w:val="32"/>
          <w:szCs w:val="32"/>
        </w:rPr>
        <w:t>第五章 破格申报条件</w:t>
      </w:r>
    </w:p>
    <w:p>
      <w:pPr>
        <w:spacing w:line="582" w:lineRule="exact"/>
        <w:ind w:firstLine="640" w:firstLineChars="200"/>
        <w:rPr>
          <w:rFonts w:eastAsia="仿宋_GB2312"/>
          <w:sz w:val="32"/>
          <w:szCs w:val="32"/>
        </w:rPr>
      </w:pPr>
      <w:r>
        <w:rPr>
          <w:rFonts w:hint="eastAsia" w:ascii="黑体" w:hAnsi="黑体" w:eastAsia="黑体"/>
          <w:sz w:val="32"/>
          <w:szCs w:val="32"/>
        </w:rPr>
        <w:t>第十四条</w:t>
      </w:r>
      <w:r>
        <w:rPr>
          <w:rFonts w:hint="eastAsia" w:eastAsia="仿宋_GB2312"/>
          <w:sz w:val="32"/>
          <w:szCs w:val="32"/>
        </w:rPr>
        <w:t>   不具备规定的学历或资历，但能力和业绩特别突出且有卓越贡献的专业技术人员，可破格申报相应职称。破学历申报高级工程师，须大专学历；破学历申报工程师，须中专学历；中专学历一般不能破格申报高级工程师，初中学历一般不能破格申报工程师。破资历申报高级工程师，须具有工程师职称，且担任中级专业技术职务时间应在</w:t>
      </w:r>
      <w:r>
        <w:rPr>
          <w:rFonts w:hint="eastAsia" w:ascii="仿宋_GB2312" w:hAnsi="仿宋_GB2312" w:eastAsia="仿宋_GB2312" w:cs="仿宋_GB2312"/>
          <w:sz w:val="32"/>
          <w:szCs w:val="32"/>
        </w:rPr>
        <w:t>3年以上。同时，申报前连续累计所需资历年限的年度考核结果须为“合格”以上，并须有至少1年的年度考核结果为“优秀”（具备博士学位，担任中级专业技术职务1年以上，破格申</w:t>
      </w:r>
      <w:r>
        <w:rPr>
          <w:rFonts w:hint="eastAsia" w:eastAsia="仿宋_GB2312"/>
          <w:sz w:val="32"/>
          <w:szCs w:val="32"/>
        </w:rPr>
        <w:t>报高级工程师，任职期间年度考核结果为“合格”以上）。</w:t>
      </w:r>
    </w:p>
    <w:p>
      <w:pPr>
        <w:spacing w:line="582" w:lineRule="exact"/>
        <w:ind w:firstLine="640" w:firstLineChars="200"/>
        <w:rPr>
          <w:rFonts w:eastAsia="仿宋_GB2312"/>
          <w:sz w:val="32"/>
          <w:szCs w:val="32"/>
        </w:rPr>
      </w:pPr>
      <w:r>
        <w:rPr>
          <w:rFonts w:hint="eastAsia" w:ascii="黑体" w:hAnsi="黑体" w:eastAsia="黑体"/>
          <w:sz w:val="32"/>
          <w:szCs w:val="32"/>
        </w:rPr>
        <w:t>第十五条</w:t>
      </w:r>
      <w:r>
        <w:rPr>
          <w:rFonts w:hint="eastAsia" w:eastAsia="仿宋_GB2312"/>
          <w:sz w:val="32"/>
          <w:szCs w:val="32"/>
        </w:rPr>
        <w:t xml:space="preserve">  破格申报高级工程师</w:t>
      </w:r>
    </w:p>
    <w:p>
      <w:pPr>
        <w:spacing w:line="582" w:lineRule="exact"/>
        <w:ind w:firstLine="640" w:firstLineChars="200"/>
        <w:rPr>
          <w:rFonts w:ascii="仿宋_GB2312" w:eastAsia="仿宋_GB2312"/>
          <w:sz w:val="32"/>
          <w:szCs w:val="32"/>
        </w:rPr>
      </w:pPr>
      <w:r>
        <w:rPr>
          <w:rFonts w:hint="eastAsia" w:eastAsia="仿宋_GB2312"/>
          <w:sz w:val="32"/>
          <w:szCs w:val="32"/>
        </w:rPr>
        <w:t>（一）</w:t>
      </w:r>
      <w:r>
        <w:rPr>
          <w:rFonts w:eastAsia="仿宋_GB2312"/>
          <w:sz w:val="32"/>
          <w:szCs w:val="32"/>
        </w:rPr>
        <w:t>担任</w:t>
      </w:r>
      <w:r>
        <w:rPr>
          <w:rFonts w:hint="eastAsia" w:eastAsia="仿宋_GB2312"/>
          <w:sz w:val="32"/>
          <w:szCs w:val="32"/>
        </w:rPr>
        <w:t>工程师</w:t>
      </w:r>
      <w:r>
        <w:rPr>
          <w:rFonts w:eastAsia="仿宋_GB2312"/>
          <w:sz w:val="32"/>
          <w:szCs w:val="32"/>
        </w:rPr>
        <w:t>职务以来，</w:t>
      </w:r>
      <w:r>
        <w:rPr>
          <w:rFonts w:hint="eastAsia" w:eastAsia="仿宋_GB2312"/>
          <w:sz w:val="32"/>
          <w:szCs w:val="32"/>
        </w:rPr>
        <w:t>业绩成果应至少</w:t>
      </w:r>
      <w:r>
        <w:rPr>
          <w:rFonts w:hint="eastAsia" w:ascii="仿宋_GB2312" w:eastAsia="仿宋_GB2312"/>
          <w:sz w:val="32"/>
          <w:szCs w:val="32"/>
        </w:rPr>
        <w:t>具备下列条件之一：</w:t>
      </w:r>
    </w:p>
    <w:p>
      <w:pPr>
        <w:spacing w:line="582"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凭申报专业领域相关项目，获省部级以上科技奖励二等奖以上、三等奖（排名前3）；经科技部认定可以推荐国家奖的社会力量科学技术奖最高奖二等奖以上（排名前3）。</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w:t>
      </w:r>
      <w:r>
        <w:rPr>
          <w:rFonts w:hint="eastAsia" w:ascii="仿宋_GB2312" w:eastAsia="仿宋_GB2312"/>
          <w:sz w:val="32"/>
          <w:szCs w:val="32"/>
        </w:rPr>
        <w:t>享受省以上政府特殊津贴专家，或省部级有突出贡献中青年专家，或获省部级先进工作者或劳动模范称号。</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w:t>
      </w:r>
      <w:r>
        <w:rPr>
          <w:rFonts w:hint="eastAsia" w:ascii="仿宋_GB2312" w:eastAsia="仿宋_GB2312"/>
          <w:sz w:val="32"/>
          <w:szCs w:val="32"/>
        </w:rPr>
        <w:t>获中华技能大奖、全国技术能手、省部级技能大师等荣誉，担任国家级技能大师工作室负责人。</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hAnsi="仿宋_GB2312" w:eastAsia="仿宋_GB2312" w:cs="仿宋_GB2312"/>
          <w:sz w:val="32"/>
          <w:szCs w:val="32"/>
        </w:rPr>
        <w:t>.</w:t>
      </w:r>
      <w:r>
        <w:rPr>
          <w:rFonts w:hint="eastAsia" w:ascii="仿宋_GB2312" w:eastAsia="仿宋_GB2312"/>
          <w:sz w:val="32"/>
          <w:szCs w:val="32"/>
        </w:rPr>
        <w:t>具有信息技术创新应用领域自主创新方面的显著成果（达到我省领先水平），社会和经济效益显著，并经2名以上</w:t>
      </w:r>
      <w:r>
        <w:rPr>
          <w:rFonts w:hint="eastAsia" w:ascii="仿宋_GB2312" w:hAnsi="微软雅黑" w:eastAsia="仿宋_GB2312"/>
          <w:spacing w:val="8"/>
          <w:sz w:val="32"/>
          <w:szCs w:val="32"/>
        </w:rPr>
        <w:t>网信工程或</w:t>
      </w:r>
      <w:r>
        <w:rPr>
          <w:rFonts w:hint="eastAsia" w:ascii="仿宋_GB2312" w:eastAsia="仿宋_GB2312"/>
          <w:sz w:val="32"/>
          <w:szCs w:val="32"/>
        </w:rPr>
        <w:t>相关专业正高级工程师推荐及省级网信主管部门认可。</w:t>
      </w:r>
    </w:p>
    <w:p>
      <w:pPr>
        <w:spacing w:line="582" w:lineRule="exact"/>
        <w:ind w:firstLine="640" w:firstLineChars="200"/>
        <w:rPr>
          <w:rFonts w:ascii="仿宋_GB2312" w:eastAsia="仿宋_GB2312"/>
          <w:sz w:val="32"/>
          <w:szCs w:val="32"/>
        </w:rPr>
      </w:pPr>
      <w:r>
        <w:rPr>
          <w:rFonts w:hint="eastAsia" w:eastAsia="仿宋_GB2312"/>
          <w:sz w:val="32"/>
          <w:szCs w:val="32"/>
        </w:rPr>
        <w:t>（二）</w:t>
      </w:r>
      <w:r>
        <w:rPr>
          <w:rFonts w:eastAsia="仿宋_GB2312"/>
          <w:sz w:val="32"/>
          <w:szCs w:val="32"/>
        </w:rPr>
        <w:t>担任</w:t>
      </w:r>
      <w:r>
        <w:rPr>
          <w:rFonts w:hint="eastAsia" w:eastAsia="仿宋_GB2312"/>
          <w:sz w:val="32"/>
          <w:szCs w:val="32"/>
        </w:rPr>
        <w:t>工程师</w:t>
      </w:r>
      <w:r>
        <w:rPr>
          <w:rFonts w:eastAsia="仿宋_GB2312"/>
          <w:sz w:val="32"/>
          <w:szCs w:val="32"/>
        </w:rPr>
        <w:t>职务以来，</w:t>
      </w:r>
      <w:r>
        <w:rPr>
          <w:rFonts w:hint="eastAsia" w:eastAsia="仿宋_GB2312"/>
          <w:sz w:val="32"/>
          <w:szCs w:val="32"/>
        </w:rPr>
        <w:t>论文著作应至少</w:t>
      </w:r>
      <w:r>
        <w:rPr>
          <w:rFonts w:hint="eastAsia" w:ascii="仿宋_GB2312" w:eastAsia="仿宋_GB2312"/>
          <w:sz w:val="32"/>
          <w:szCs w:val="32"/>
        </w:rPr>
        <w:t>具备下列条件之一：</w:t>
      </w:r>
    </w:p>
    <w:p>
      <w:pPr>
        <w:spacing w:line="58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1.公开出版本专业专著、合著（第1作者或注明本人牵头编写章节）或译著（独立作者）1部以上。 </w:t>
      </w:r>
    </w:p>
    <w:p>
      <w:pPr>
        <w:spacing w:line="58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2.在公开出版的期刊上发表较高水平的本专业论文2篇以上（第1作者），其中1篇发表在中文核心期刊。</w:t>
      </w:r>
    </w:p>
    <w:p>
      <w:pPr>
        <w:spacing w:line="582" w:lineRule="exact"/>
        <w:ind w:firstLine="640" w:firstLineChars="200"/>
        <w:rPr>
          <w:rFonts w:eastAsia="仿宋_GB2312"/>
          <w:sz w:val="32"/>
          <w:szCs w:val="32"/>
        </w:rPr>
      </w:pPr>
      <w:r>
        <w:rPr>
          <w:rFonts w:hint="eastAsia" w:ascii="黑体" w:hAnsi="黑体" w:eastAsia="黑体"/>
          <w:sz w:val="32"/>
          <w:szCs w:val="32"/>
        </w:rPr>
        <w:t>第十六条</w:t>
      </w:r>
      <w:r>
        <w:rPr>
          <w:rFonts w:hint="eastAsia" w:eastAsia="仿宋_GB2312"/>
          <w:sz w:val="32"/>
          <w:szCs w:val="32"/>
        </w:rPr>
        <w:t xml:space="preserve">  破格申报工程师</w:t>
      </w:r>
    </w:p>
    <w:p>
      <w:pPr>
        <w:spacing w:line="582" w:lineRule="exact"/>
        <w:ind w:firstLine="640" w:firstLineChars="200"/>
        <w:rPr>
          <w:rFonts w:ascii="仿宋_GB2312" w:eastAsia="仿宋_GB2312"/>
          <w:sz w:val="32"/>
          <w:szCs w:val="32"/>
        </w:rPr>
      </w:pPr>
      <w:r>
        <w:rPr>
          <w:rFonts w:hint="eastAsia" w:eastAsia="仿宋_GB2312"/>
          <w:sz w:val="32"/>
          <w:szCs w:val="32"/>
        </w:rPr>
        <w:t>（一）</w:t>
      </w:r>
      <w:r>
        <w:rPr>
          <w:rFonts w:eastAsia="仿宋_GB2312"/>
          <w:sz w:val="32"/>
          <w:szCs w:val="32"/>
        </w:rPr>
        <w:t>担任</w:t>
      </w:r>
      <w:r>
        <w:rPr>
          <w:rFonts w:hint="eastAsia" w:eastAsia="仿宋_GB2312"/>
          <w:sz w:val="32"/>
          <w:szCs w:val="32"/>
        </w:rPr>
        <w:t>助理工程师</w:t>
      </w:r>
      <w:r>
        <w:rPr>
          <w:rFonts w:eastAsia="仿宋_GB2312"/>
          <w:sz w:val="32"/>
          <w:szCs w:val="32"/>
        </w:rPr>
        <w:t>职务以来，</w:t>
      </w:r>
      <w:r>
        <w:rPr>
          <w:rFonts w:hint="eastAsia" w:eastAsia="仿宋_GB2312"/>
          <w:sz w:val="32"/>
          <w:szCs w:val="32"/>
        </w:rPr>
        <w:t>业绩成果应至少</w:t>
      </w:r>
      <w:r>
        <w:rPr>
          <w:rFonts w:hint="eastAsia" w:ascii="仿宋_GB2312" w:eastAsia="仿宋_GB2312"/>
          <w:sz w:val="32"/>
          <w:szCs w:val="32"/>
        </w:rPr>
        <w:t>具备下列条件之一：</w:t>
      </w:r>
    </w:p>
    <w:p>
      <w:pPr>
        <w:spacing w:line="582"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凭申报专业领域相关项目，获市厅级以上科学技术类三等奖以上（排名前3）。</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w:t>
      </w:r>
      <w:r>
        <w:rPr>
          <w:rFonts w:hint="eastAsia" w:ascii="仿宋_GB2312" w:eastAsia="仿宋_GB2312"/>
          <w:sz w:val="32"/>
          <w:szCs w:val="32"/>
        </w:rPr>
        <w:t>获湖湘杯网络安全技能大赛等省部级以上行业主管部门主办的网信相关技能竞赛三等奖以上。</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w:t>
      </w:r>
      <w:r>
        <w:rPr>
          <w:rFonts w:hint="eastAsia" w:ascii="仿宋_GB2312" w:eastAsia="仿宋_GB2312"/>
          <w:sz w:val="32"/>
          <w:szCs w:val="32"/>
        </w:rPr>
        <w:t>获省部级技术能手、市厅级技能大师等荣誉，担任省级技能大师工作室负责人。</w:t>
      </w:r>
    </w:p>
    <w:p>
      <w:pPr>
        <w:spacing w:line="582"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具有信息技术创新应用领域自主创新方面的明显成果（达到我省一流水平），有较强的社会和经济效益，并经2名以上</w:t>
      </w:r>
      <w:r>
        <w:rPr>
          <w:rFonts w:hint="eastAsia" w:ascii="仿宋_GB2312" w:hAnsi="微软雅黑" w:eastAsia="仿宋_GB2312"/>
          <w:spacing w:val="8"/>
          <w:sz w:val="32"/>
          <w:szCs w:val="32"/>
        </w:rPr>
        <w:t>网信工程或</w:t>
      </w:r>
      <w:r>
        <w:rPr>
          <w:rFonts w:hint="eastAsia" w:ascii="仿宋_GB2312" w:eastAsia="仿宋_GB2312"/>
          <w:sz w:val="32"/>
          <w:szCs w:val="32"/>
        </w:rPr>
        <w:t>相关专业高级工程师推荐及省级网信主管部门认可。</w:t>
      </w:r>
    </w:p>
    <w:p>
      <w:pPr>
        <w:spacing w:line="582" w:lineRule="exact"/>
        <w:ind w:firstLine="640" w:firstLineChars="200"/>
        <w:rPr>
          <w:rFonts w:ascii="仿宋_GB2312" w:eastAsia="仿宋_GB2312"/>
          <w:sz w:val="32"/>
          <w:szCs w:val="32"/>
        </w:rPr>
      </w:pPr>
      <w:r>
        <w:rPr>
          <w:rFonts w:hint="eastAsia" w:eastAsia="仿宋_GB2312"/>
          <w:sz w:val="32"/>
          <w:szCs w:val="32"/>
        </w:rPr>
        <w:t>（二）</w:t>
      </w:r>
      <w:r>
        <w:rPr>
          <w:rFonts w:eastAsia="仿宋_GB2312"/>
          <w:sz w:val="32"/>
          <w:szCs w:val="32"/>
        </w:rPr>
        <w:t>担任</w:t>
      </w:r>
      <w:r>
        <w:rPr>
          <w:rFonts w:hint="eastAsia" w:eastAsia="仿宋_GB2312"/>
          <w:sz w:val="32"/>
          <w:szCs w:val="32"/>
        </w:rPr>
        <w:t>助理工程师</w:t>
      </w:r>
      <w:r>
        <w:rPr>
          <w:rFonts w:eastAsia="仿宋_GB2312"/>
          <w:sz w:val="32"/>
          <w:szCs w:val="32"/>
        </w:rPr>
        <w:t>职务以来，</w:t>
      </w:r>
      <w:r>
        <w:rPr>
          <w:rFonts w:hint="eastAsia" w:eastAsia="仿宋_GB2312"/>
          <w:sz w:val="32"/>
          <w:szCs w:val="32"/>
        </w:rPr>
        <w:t>论文著作应至少</w:t>
      </w:r>
      <w:r>
        <w:rPr>
          <w:rFonts w:hint="eastAsia" w:ascii="仿宋_GB2312" w:eastAsia="仿宋_GB2312"/>
          <w:sz w:val="32"/>
          <w:szCs w:val="32"/>
        </w:rPr>
        <w:t>具备下列条件：</w:t>
      </w:r>
    </w:p>
    <w:p>
      <w:pPr>
        <w:spacing w:line="582" w:lineRule="exact"/>
        <w:ind w:firstLine="640" w:firstLineChars="200"/>
        <w:rPr>
          <w:rFonts w:ascii="仿宋_GB2312" w:eastAsia="仿宋_GB2312"/>
          <w:spacing w:val="-12"/>
          <w:sz w:val="32"/>
          <w:szCs w:val="32"/>
        </w:rPr>
      </w:pPr>
      <w:r>
        <w:rPr>
          <w:rFonts w:hint="eastAsia" w:ascii="仿宋_GB2312" w:eastAsia="仿宋_GB2312"/>
          <w:sz w:val="32"/>
          <w:szCs w:val="32"/>
        </w:rPr>
        <w:t>在</w:t>
      </w:r>
      <w:r>
        <w:rPr>
          <w:rFonts w:hint="eastAsia" w:ascii="仿宋_GB2312" w:eastAsia="仿宋_GB2312"/>
          <w:spacing w:val="-12"/>
          <w:sz w:val="32"/>
          <w:szCs w:val="32"/>
        </w:rPr>
        <w:t>公开出版的期刊上发表本专业论文1篇以上（第1作者）。</w:t>
      </w:r>
    </w:p>
    <w:p>
      <w:pPr>
        <w:spacing w:line="582" w:lineRule="exact"/>
        <w:ind w:firstLine="592" w:firstLineChars="200"/>
        <w:rPr>
          <w:rFonts w:ascii="仿宋_GB2312" w:eastAsia="仿宋_GB2312"/>
          <w:spacing w:val="-12"/>
          <w:sz w:val="32"/>
          <w:szCs w:val="32"/>
        </w:rPr>
      </w:pPr>
    </w:p>
    <w:p>
      <w:pPr>
        <w:spacing w:before="156" w:beforeLines="50" w:after="156" w:afterLines="50" w:line="582" w:lineRule="exact"/>
        <w:jc w:val="center"/>
        <w:rPr>
          <w:rFonts w:hint="eastAsia" w:ascii="黑体" w:hAnsi="黑体" w:eastAsia="黑体"/>
          <w:sz w:val="32"/>
          <w:szCs w:val="32"/>
        </w:rPr>
      </w:pPr>
      <w:r>
        <w:rPr>
          <w:rFonts w:hint="eastAsia" w:ascii="黑体" w:hAnsi="黑体" w:eastAsia="黑体"/>
          <w:sz w:val="32"/>
          <w:szCs w:val="32"/>
        </w:rPr>
        <w:t>第六章  职称认定</w:t>
      </w:r>
    </w:p>
    <w:p>
      <w:pPr>
        <w:spacing w:line="582" w:lineRule="exact"/>
        <w:ind w:firstLine="640" w:firstLineChars="200"/>
        <w:rPr>
          <w:rFonts w:eastAsia="仿宋_GB2312"/>
          <w:sz w:val="32"/>
          <w:szCs w:val="32"/>
        </w:rPr>
      </w:pPr>
      <w:r>
        <w:rPr>
          <w:rFonts w:hint="eastAsia" w:ascii="黑体" w:hAnsi="黑体" w:eastAsia="黑体"/>
          <w:sz w:val="32"/>
          <w:szCs w:val="32"/>
        </w:rPr>
        <w:t>第十七条</w:t>
      </w:r>
      <w:r>
        <w:rPr>
          <w:rFonts w:hint="eastAsia" w:eastAsia="仿宋_GB2312"/>
          <w:sz w:val="32"/>
          <w:szCs w:val="32"/>
        </w:rPr>
        <w:t xml:space="preserve">  </w:t>
      </w:r>
      <w:r>
        <w:rPr>
          <w:rFonts w:eastAsia="仿宋_GB2312"/>
          <w:sz w:val="32"/>
          <w:szCs w:val="32"/>
        </w:rPr>
        <w:t>对依托我省重点学科、重大项目、重点工程</w:t>
      </w:r>
      <w:r>
        <w:rPr>
          <w:rFonts w:hint="eastAsia" w:eastAsia="仿宋_GB2312"/>
          <w:sz w:val="32"/>
          <w:szCs w:val="32"/>
        </w:rPr>
        <w:t>或</w:t>
      </w:r>
      <w:r>
        <w:rPr>
          <w:rFonts w:eastAsia="仿宋_GB2312"/>
          <w:sz w:val="32"/>
          <w:szCs w:val="32"/>
        </w:rPr>
        <w:t>通过省级引才工程（含备案的其他引才工程），从境内外引进来湘从事</w:t>
      </w:r>
      <w:r>
        <w:rPr>
          <w:rFonts w:hint="eastAsia" w:eastAsia="仿宋_GB2312"/>
          <w:sz w:val="32"/>
          <w:szCs w:val="32"/>
        </w:rPr>
        <w:t>网信工程专业</w:t>
      </w:r>
      <w:r>
        <w:rPr>
          <w:rFonts w:eastAsia="仿宋_GB2312"/>
          <w:sz w:val="32"/>
          <w:szCs w:val="32"/>
        </w:rPr>
        <w:t>工作的急需紧缺人才和高层次人才，根据需要放宽身份、资历、台阶、学历等条件限制进行实时评价，采取个人述职答辩、同行专家考核评议“直通车”方式直接认定相应职称。特别优秀的引进人才，可直接</w:t>
      </w:r>
      <w:r>
        <w:rPr>
          <w:rFonts w:hint="eastAsia" w:eastAsia="仿宋_GB2312"/>
          <w:sz w:val="32"/>
          <w:szCs w:val="32"/>
        </w:rPr>
        <w:t>参评</w:t>
      </w:r>
      <w:r>
        <w:rPr>
          <w:rFonts w:eastAsia="仿宋_GB2312"/>
          <w:sz w:val="32"/>
          <w:szCs w:val="32"/>
        </w:rPr>
        <w:t>认定</w:t>
      </w:r>
      <w:r>
        <w:rPr>
          <w:rFonts w:hint="eastAsia" w:eastAsia="仿宋_GB2312"/>
          <w:sz w:val="32"/>
          <w:szCs w:val="32"/>
        </w:rPr>
        <w:t>网信工程专业</w:t>
      </w:r>
      <w:r>
        <w:rPr>
          <w:rFonts w:eastAsia="仿宋_GB2312"/>
          <w:sz w:val="32"/>
          <w:szCs w:val="32"/>
        </w:rPr>
        <w:t>正高级职称，</w:t>
      </w:r>
      <w:r>
        <w:rPr>
          <w:rFonts w:hint="eastAsia" w:eastAsia="仿宋_GB2312"/>
          <w:sz w:val="32"/>
          <w:szCs w:val="32"/>
        </w:rPr>
        <w:t>可</w:t>
      </w:r>
      <w:r>
        <w:rPr>
          <w:rFonts w:eastAsia="仿宋_GB2312"/>
          <w:sz w:val="32"/>
          <w:szCs w:val="32"/>
        </w:rPr>
        <w:t>采取一事一议、一人一策的方式评价。</w:t>
      </w:r>
    </w:p>
    <w:p>
      <w:pPr>
        <w:spacing w:line="582" w:lineRule="exact"/>
        <w:ind w:firstLine="640" w:firstLineChars="200"/>
        <w:rPr>
          <w:rFonts w:hint="eastAsia" w:eastAsia="仿宋_GB2312"/>
          <w:sz w:val="32"/>
          <w:szCs w:val="32"/>
        </w:rPr>
      </w:pPr>
      <w:r>
        <w:rPr>
          <w:rFonts w:hint="eastAsia" w:eastAsia="仿宋_GB2312"/>
          <w:sz w:val="32"/>
          <w:szCs w:val="32"/>
        </w:rPr>
        <w:t>单位按照人事隶属关系呈报市州或省直主管厅局，由市州或省直主管厅局根据相关程序制定考核认定标准和操作方案。可采取网信工程专业职称改革工作领导小组办公室年度职称评审认定，也可单独组织相应评审会考核认定等，操作方案报省职改办备案审核后认定相应职称。</w:t>
      </w:r>
    </w:p>
    <w:p>
      <w:pPr>
        <w:spacing w:line="582" w:lineRule="exact"/>
        <w:ind w:firstLine="640" w:firstLineChars="200"/>
        <w:rPr>
          <w:rFonts w:hint="eastAsia" w:eastAsia="仿宋_GB2312"/>
          <w:sz w:val="32"/>
          <w:szCs w:val="32"/>
        </w:rPr>
      </w:pPr>
      <w:r>
        <w:rPr>
          <w:rFonts w:hint="eastAsia" w:ascii="黑体" w:hAnsi="黑体" w:eastAsia="黑体"/>
          <w:sz w:val="32"/>
          <w:szCs w:val="32"/>
        </w:rPr>
        <w:t>第十八条</w:t>
      </w:r>
      <w:r>
        <w:rPr>
          <w:rFonts w:hint="eastAsia" w:eastAsia="仿宋_GB2312"/>
          <w:sz w:val="32"/>
          <w:szCs w:val="32"/>
        </w:rPr>
        <w:t xml:space="preserve">  非人才工程从外省调入的网信工程专业技术人才（含中央驻湘、军队转业）的职称，由用人单位根据政策进行考评认定。省直主管厅局（省属高校）应制定考评认定办法，并按照一定的程序考评其品德能力业绩能否胜任岗位工作。市州所辖单位引进调入专业技术人才的职称考评认定具体实施办法，由市州根据实际自行制定。高级职称认定结果由市州或省直主管厅局（省属高校）汇总后报省职改办备案。</w:t>
      </w:r>
    </w:p>
    <w:p>
      <w:pPr>
        <w:spacing w:line="582" w:lineRule="exact"/>
        <w:ind w:firstLine="640" w:firstLineChars="200"/>
        <w:rPr>
          <w:rFonts w:hint="eastAsia" w:ascii="仿宋_GB2312" w:eastAsia="仿宋_GB2312"/>
          <w:sz w:val="32"/>
          <w:szCs w:val="32"/>
        </w:rPr>
      </w:pPr>
      <w:r>
        <w:rPr>
          <w:rFonts w:hint="eastAsia" w:ascii="黑体" w:hAnsi="黑体" w:eastAsia="黑体"/>
          <w:sz w:val="32"/>
          <w:szCs w:val="32"/>
        </w:rPr>
        <w:t>第十九条</w:t>
      </w:r>
      <w:r>
        <w:rPr>
          <w:rFonts w:hint="eastAsia" w:eastAsia="仿宋_GB2312"/>
          <w:sz w:val="32"/>
          <w:szCs w:val="32"/>
        </w:rPr>
        <w:t xml:space="preserve">  </w:t>
      </w:r>
      <w:r>
        <w:rPr>
          <w:rFonts w:hint="eastAsia" w:ascii="仿宋_GB2312" w:eastAsia="仿宋_GB2312"/>
          <w:sz w:val="32"/>
          <w:szCs w:val="32"/>
        </w:rPr>
        <w:t>高校毕业生实习期满，经考核合格正式从事网信工程专业工作，各企事业单位人事（职改）部门、各级人力资源服务中心应根据其政治表现和专业工作的实际情况，及时做好初次认定职称工作。</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一）高校毕业生在网信工程专业岗位上工作，经考核符合任职条件的，可按照国家有关规定直接认定其网信工程专业职称。国家教育、人社行政部门承认学历的非正规全日制毕业生与正规全日制院校毕业生同等对待。</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（二）根据国家有关规定，初次认定职称指：</w:t>
      </w:r>
    </w:p>
    <w:p>
      <w:pPr>
        <w:spacing w:line="582" w:lineRule="exact"/>
        <w:ind w:firstLine="640" w:firstLineChars="200"/>
        <w:rPr>
          <w:rFonts w:hint="eastAsia" w:ascii="仿宋_GB2312" w:hAnsi="Arial" w:eastAsia="仿宋_GB2312" w:cs="Arial"/>
          <w:kern w:val="0"/>
          <w:sz w:val="32"/>
          <w:szCs w:val="32"/>
        </w:rPr>
      </w:pPr>
      <w:r>
        <w:rPr>
          <w:rFonts w:hint="eastAsia" w:ascii="仿宋_GB2312" w:hAnsi="仿宋_GB2312" w:eastAsia="仿宋_GB2312" w:cs="仿宋_GB2312"/>
          <w:sz w:val="32"/>
          <w:szCs w:val="32"/>
        </w:rPr>
        <w:t>1.</w:t>
      </w:r>
      <w:r>
        <w:rPr>
          <w:rFonts w:hint="eastAsia" w:ascii="仿宋_GB2312" w:hAnsi="Arial" w:eastAsia="仿宋_GB2312" w:cs="Arial"/>
          <w:kern w:val="0"/>
          <w:sz w:val="32"/>
          <w:szCs w:val="32"/>
        </w:rPr>
        <w:t>中专毕业1年见习期满，认定为技术员。</w:t>
      </w:r>
    </w:p>
    <w:p>
      <w:pPr>
        <w:spacing w:line="582" w:lineRule="exact"/>
        <w:ind w:firstLine="640" w:firstLineChars="200"/>
        <w:rPr>
          <w:rFonts w:hint="eastAsia" w:ascii="仿宋_GB2312" w:eastAsia="仿宋_GB2312"/>
          <w:sz w:val="32"/>
          <w:szCs w:val="32"/>
        </w:rPr>
      </w:pPr>
      <w:r>
        <w:rPr>
          <w:rFonts w:hint="eastAsia" w:ascii="仿宋_GB2312" w:hAnsi="Arial" w:eastAsia="仿宋_GB2312" w:cs="Arial"/>
          <w:kern w:val="0"/>
          <w:sz w:val="32"/>
          <w:szCs w:val="32"/>
        </w:rPr>
        <w:t>2.大学专科毕业1年见习期满，再从事</w:t>
      </w:r>
      <w:r>
        <w:rPr>
          <w:rFonts w:hint="eastAsia" w:ascii="仿宋_GB2312" w:eastAsia="仿宋_GB2312"/>
          <w:sz w:val="32"/>
          <w:szCs w:val="32"/>
        </w:rPr>
        <w:t>网信工程专业</w:t>
      </w:r>
      <w:r>
        <w:rPr>
          <w:rFonts w:hint="eastAsia" w:ascii="仿宋_GB2312" w:hAnsi="Arial" w:eastAsia="仿宋_GB2312" w:cs="Arial"/>
          <w:kern w:val="0"/>
          <w:sz w:val="32"/>
          <w:szCs w:val="32"/>
        </w:rPr>
        <w:t>工作2年，</w:t>
      </w:r>
      <w:r>
        <w:rPr>
          <w:rFonts w:hint="eastAsia" w:ascii="仿宋_GB2312" w:eastAsia="仿宋_GB2312"/>
          <w:sz w:val="32"/>
          <w:szCs w:val="32"/>
        </w:rPr>
        <w:t>认定为助理工程师。</w:t>
      </w:r>
    </w:p>
    <w:p>
      <w:pPr>
        <w:spacing w:line="582"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3.</w:t>
      </w:r>
      <w:r>
        <w:rPr>
          <w:rFonts w:hint="eastAsia" w:ascii="仿宋_GB2312" w:hAnsi="Arial" w:eastAsia="仿宋_GB2312" w:cs="Arial"/>
          <w:kern w:val="0"/>
          <w:sz w:val="32"/>
          <w:szCs w:val="32"/>
        </w:rPr>
        <w:t>大学本科毕业1年见习期满，</w:t>
      </w:r>
      <w:r>
        <w:rPr>
          <w:rFonts w:hint="eastAsia" w:ascii="仿宋_GB2312" w:eastAsia="仿宋_GB2312"/>
          <w:sz w:val="32"/>
          <w:szCs w:val="32"/>
        </w:rPr>
        <w:t>认定为助理工程师。</w:t>
      </w:r>
    </w:p>
    <w:p>
      <w:pPr>
        <w:spacing w:line="582"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获硕士学位后，</w:t>
      </w:r>
      <w:r>
        <w:rPr>
          <w:rFonts w:hint="eastAsia" w:ascii="仿宋_GB2312" w:hAnsi="Arial" w:eastAsia="仿宋_GB2312" w:cs="Arial"/>
          <w:kern w:val="0"/>
          <w:sz w:val="32"/>
          <w:szCs w:val="32"/>
        </w:rPr>
        <w:t>再从事</w:t>
      </w:r>
      <w:r>
        <w:rPr>
          <w:rFonts w:hint="eastAsia" w:ascii="仿宋_GB2312" w:eastAsia="仿宋_GB2312"/>
          <w:sz w:val="32"/>
          <w:szCs w:val="32"/>
        </w:rPr>
        <w:t>网信工程专业</w:t>
      </w:r>
      <w:r>
        <w:rPr>
          <w:rFonts w:hint="eastAsia" w:ascii="仿宋_GB2312" w:hAnsi="Arial" w:eastAsia="仿宋_GB2312" w:cs="Arial"/>
          <w:kern w:val="0"/>
          <w:sz w:val="32"/>
          <w:szCs w:val="32"/>
        </w:rPr>
        <w:t>工作满3年，</w:t>
      </w:r>
      <w:r>
        <w:rPr>
          <w:rFonts w:hint="eastAsia" w:ascii="仿宋_GB2312" w:eastAsia="仿宋_GB2312"/>
          <w:sz w:val="32"/>
          <w:szCs w:val="32"/>
        </w:rPr>
        <w:t>（取得硕士学位前，已从事网信工程专业工作1年以上的，可减1年），认定为工程师。</w:t>
      </w:r>
    </w:p>
    <w:p>
      <w:pPr>
        <w:spacing w:line="582"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5.</w:t>
      </w:r>
      <w:r>
        <w:rPr>
          <w:rFonts w:hint="eastAsia" w:ascii="仿宋_GB2312" w:eastAsia="仿宋_GB2312"/>
          <w:sz w:val="32"/>
          <w:szCs w:val="32"/>
        </w:rPr>
        <w:t>获博士学位后，认定为工程师。</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技工院校中级工班、高级工班、预备技师（技师）班毕业, 分别按中专、大专、本科学历认定网信工程专业职称。</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初级职称的认定权限在县级人社（职改）部门；中级职称的认定权限在市州、厅（局）级人社（职改）部门。</w:t>
      </w:r>
    </w:p>
    <w:p>
      <w:pPr>
        <w:spacing w:line="582" w:lineRule="exact"/>
        <w:ind w:firstLine="640" w:firstLineChars="200"/>
        <w:rPr>
          <w:rFonts w:ascii="仿宋_GB2312" w:eastAsia="仿宋_GB2312"/>
          <w:sz w:val="32"/>
          <w:szCs w:val="32"/>
        </w:rPr>
      </w:pPr>
    </w:p>
    <w:p>
      <w:pPr>
        <w:spacing w:before="156" w:beforeLines="50" w:after="156" w:afterLines="50" w:line="582" w:lineRule="exact"/>
        <w:jc w:val="center"/>
        <w:rPr>
          <w:rFonts w:ascii="黑体" w:hAnsi="黑体" w:eastAsia="黑体"/>
          <w:sz w:val="32"/>
          <w:szCs w:val="32"/>
        </w:rPr>
      </w:pPr>
      <w:r>
        <w:rPr>
          <w:rFonts w:hint="eastAsia" w:ascii="黑体" w:hAnsi="黑体" w:eastAsia="黑体"/>
          <w:sz w:val="32"/>
          <w:szCs w:val="32"/>
        </w:rPr>
        <w:t>第七章  申报评审管理</w:t>
      </w:r>
    </w:p>
    <w:p>
      <w:pPr>
        <w:spacing w:line="582"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二十</w:t>
      </w:r>
      <w:r>
        <w:rPr>
          <w:rFonts w:ascii="黑体" w:hAnsi="黑体" w:eastAsia="黑体"/>
          <w:sz w:val="32"/>
          <w:szCs w:val="32"/>
        </w:rPr>
        <w:t>条</w:t>
      </w:r>
      <w:r>
        <w:rPr>
          <w:rFonts w:hint="eastAsia" w:eastAsia="仿宋_GB2312"/>
          <w:sz w:val="32"/>
          <w:szCs w:val="32"/>
        </w:rPr>
        <w:t xml:space="preserve">  </w:t>
      </w:r>
      <w:r>
        <w:rPr>
          <w:rFonts w:eastAsia="仿宋_GB2312"/>
          <w:sz w:val="32"/>
          <w:szCs w:val="32"/>
        </w:rPr>
        <w:t>申报人的基本情况（主要包括申报人的姓名、工作单位、职务、现职称、取得时间、聘</w:t>
      </w:r>
      <w:r>
        <w:rPr>
          <w:rFonts w:hint="eastAsia" w:ascii="仿宋_GB2312" w:eastAsia="仿宋_GB2312"/>
          <w:sz w:val="32"/>
          <w:szCs w:val="32"/>
        </w:rPr>
        <w:t>用时间、专业技术水平、工作能力和工作业绩等情况）应在本单位公示不少于5个工作日，对经公示无异议的，按照职称评审管理权限逐级上报。未经审核和公示程序的，不得推荐申报参评，已评审通过的不予备案，已备案的取消备</w:t>
      </w:r>
      <w:r>
        <w:rPr>
          <w:rFonts w:hint="eastAsia" w:ascii="仿宋_GB2312" w:hAnsi="仿宋" w:eastAsia="仿宋_GB2312" w:cs="仿宋"/>
          <w:sz w:val="32"/>
          <w:szCs w:val="32"/>
        </w:rPr>
        <w:t>案。评审委员会</w:t>
      </w:r>
      <w:r>
        <w:rPr>
          <w:rFonts w:hint="eastAsia" w:ascii="仿宋_GB2312" w:eastAsia="仿宋_GB2312"/>
          <w:sz w:val="32"/>
          <w:szCs w:val="32"/>
        </w:rPr>
        <w:t>组建单</w:t>
      </w:r>
      <w:r>
        <w:rPr>
          <w:rFonts w:eastAsia="仿宋_GB2312"/>
          <w:sz w:val="32"/>
          <w:szCs w:val="32"/>
        </w:rPr>
        <w:t>位对评审结果进行公示，公示期不少于5个工作日。</w:t>
      </w:r>
    </w:p>
    <w:p>
      <w:pPr>
        <w:spacing w:line="582" w:lineRule="exact"/>
        <w:ind w:firstLine="640" w:firstLineChars="200"/>
        <w:rPr>
          <w:rFonts w:eastAsia="仿宋_GB2312"/>
          <w:sz w:val="32"/>
          <w:szCs w:val="32"/>
        </w:rPr>
      </w:pPr>
      <w:r>
        <w:rPr>
          <w:rFonts w:ascii="黑体" w:hAnsi="黑体" w:eastAsia="黑体"/>
          <w:sz w:val="32"/>
          <w:szCs w:val="32"/>
        </w:rPr>
        <w:t>第二十</w:t>
      </w:r>
      <w:r>
        <w:rPr>
          <w:rFonts w:hint="eastAsia" w:ascii="黑体" w:hAnsi="黑体" w:eastAsia="黑体"/>
          <w:sz w:val="32"/>
          <w:szCs w:val="32"/>
        </w:rPr>
        <w:t>一</w:t>
      </w:r>
      <w:r>
        <w:rPr>
          <w:rFonts w:ascii="黑体" w:hAnsi="黑体" w:eastAsia="黑体"/>
          <w:sz w:val="32"/>
          <w:szCs w:val="32"/>
        </w:rPr>
        <w:t>条</w:t>
      </w:r>
      <w:r>
        <w:rPr>
          <w:rFonts w:hint="eastAsia" w:eastAsia="仿宋_GB2312"/>
          <w:sz w:val="32"/>
          <w:szCs w:val="32"/>
        </w:rPr>
        <w:t xml:space="preserve">  </w:t>
      </w:r>
      <w:r>
        <w:rPr>
          <w:rFonts w:eastAsia="仿宋_GB2312"/>
          <w:sz w:val="32"/>
          <w:szCs w:val="32"/>
        </w:rPr>
        <w:t>职称申报参评实行告知承诺制。申报人需诚信参评，对所提供的材料和所填报的资料承诺真实、准确、有效，须在《专业技术职称评审表》“个人承诺”栏内亲笔签名。</w:t>
      </w:r>
    </w:p>
    <w:p>
      <w:pPr>
        <w:spacing w:line="582" w:lineRule="exact"/>
        <w:ind w:firstLine="640" w:firstLineChars="200"/>
        <w:rPr>
          <w:rFonts w:hint="eastAsia" w:ascii="仿宋_GB2312" w:hAnsi="仿宋" w:eastAsia="仿宋_GB2312" w:cs="仿宋"/>
          <w:sz w:val="32"/>
          <w:szCs w:val="32"/>
        </w:rPr>
      </w:pPr>
      <w:r>
        <w:rPr>
          <w:rFonts w:eastAsia="仿宋_GB2312"/>
          <w:sz w:val="32"/>
          <w:szCs w:val="32"/>
        </w:rPr>
        <w:t>有下列情形之一，取消申报人当年度参评资格，已经通过评审的，撤</w:t>
      </w:r>
      <w:r>
        <w:rPr>
          <w:rFonts w:hint="eastAsia" w:ascii="仿宋_GB2312" w:eastAsia="仿宋_GB2312"/>
          <w:sz w:val="32"/>
          <w:szCs w:val="32"/>
        </w:rPr>
        <w:t>销职称收回</w:t>
      </w:r>
      <w:r>
        <w:rPr>
          <w:rFonts w:hint="eastAsia" w:ascii="仿宋_GB2312" w:hAnsi="仿宋" w:eastAsia="仿宋_GB2312" w:cs="仿宋"/>
          <w:sz w:val="32"/>
          <w:szCs w:val="32"/>
        </w:rPr>
        <w:t>证书。对违纪违规的申报人在全省范围通报，通报结果连续3个年度提交至相应评审委员会供评委参考，失信行为记入《个人失信记录表》和职称评审诚信档案库，按相关规定放置个人档案留存，纳入全国信用信息共享平台，记录期限为3年；情节严重的，通知所在单位按照规定进行党纪、政纪追责处理；涉嫌违法的，追究其法律责任。</w:t>
      </w:r>
    </w:p>
    <w:p>
      <w:pPr>
        <w:spacing w:line="582"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（一</w:t>
      </w:r>
      <w:r>
        <w:rPr>
          <w:rFonts w:hint="eastAsia" w:ascii="仿宋_GB2312" w:hAnsi="仿宋" w:eastAsia="仿宋_GB2312" w:cs="仿宋"/>
          <w:sz w:val="32"/>
          <w:szCs w:val="32"/>
        </w:rPr>
        <w:t>）伪造、变造证件、证明的；</w:t>
      </w:r>
    </w:p>
    <w:p>
      <w:pPr>
        <w:spacing w:line="58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（二）提交虚假申报材料或瞒报有关事实的；</w:t>
      </w:r>
    </w:p>
    <w:p>
      <w:pPr>
        <w:spacing w:line="58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（三）因有违纪违法行为，仍在处理、处分阶段的；</w:t>
      </w:r>
    </w:p>
    <w:p>
      <w:pPr>
        <w:spacing w:line="58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（四）其他严重违反评审规定的。</w:t>
      </w:r>
    </w:p>
    <w:p>
      <w:pPr>
        <w:spacing w:line="582" w:lineRule="exact"/>
        <w:ind w:firstLine="640" w:firstLineChars="200"/>
        <w:rPr>
          <w:rFonts w:hint="eastAsia" w:ascii="仿宋_GB2312" w:hAnsi="仿宋" w:eastAsia="仿宋_GB2312" w:cs="仿宋"/>
          <w:sz w:val="32"/>
          <w:szCs w:val="32"/>
        </w:rPr>
      </w:pPr>
      <w:r>
        <w:rPr>
          <w:rFonts w:ascii="黑体" w:hAnsi="黑体" w:eastAsia="黑体"/>
          <w:sz w:val="32"/>
          <w:szCs w:val="32"/>
        </w:rPr>
        <w:t>第二十</w:t>
      </w:r>
      <w:r>
        <w:rPr>
          <w:rFonts w:hint="eastAsia" w:ascii="黑体" w:hAnsi="黑体" w:eastAsia="黑体"/>
          <w:sz w:val="32"/>
          <w:szCs w:val="32"/>
        </w:rPr>
        <w:t>二</w:t>
      </w:r>
      <w:r>
        <w:rPr>
          <w:rFonts w:ascii="黑体" w:hAnsi="黑体" w:eastAsia="黑体"/>
          <w:sz w:val="32"/>
          <w:szCs w:val="32"/>
        </w:rPr>
        <w:t>条</w:t>
      </w:r>
      <w:r>
        <w:rPr>
          <w:rFonts w:hint="eastAsia" w:eastAsia="仿宋_GB2312"/>
          <w:sz w:val="32"/>
          <w:szCs w:val="32"/>
        </w:rPr>
        <w:t xml:space="preserve"> </w:t>
      </w:r>
      <w:r>
        <w:rPr>
          <w:rFonts w:hint="eastAsia" w:ascii="仿宋_GB2312" w:eastAsia="仿宋_GB2312"/>
          <w:sz w:val="32"/>
          <w:szCs w:val="32"/>
        </w:rPr>
        <w:t xml:space="preserve"> </w:t>
      </w:r>
      <w:r>
        <w:rPr>
          <w:rFonts w:hint="eastAsia" w:ascii="仿宋_GB2312" w:hAnsi="仿宋" w:eastAsia="仿宋_GB2312" w:cs="仿宋"/>
          <w:sz w:val="32"/>
          <w:szCs w:val="32"/>
        </w:rPr>
        <w:t>建立健全追溯追责复核机制，申报人的《专业技术职称评审表》一份存入个人档案，一份留存评审委员会组建单位。资料长期保存，作为人力资源基础数据比对信息，经核查发现申报人有通过提供虚假材料、剽窃学术成果或通过其他不正当手段等违纪违规取得职称的行为，按规定撤销其相应职称，据此获得的后续职称或其他权益，按规定一并取消。</w:t>
      </w:r>
    </w:p>
    <w:p>
      <w:pPr>
        <w:spacing w:line="582" w:lineRule="exact"/>
        <w:ind w:firstLine="640" w:firstLineChars="200"/>
        <w:rPr>
          <w:rFonts w:hint="eastAsia" w:ascii="仿宋_GB2312" w:hAnsi="仿宋" w:eastAsia="仿宋_GB2312" w:cs="仿宋"/>
          <w:sz w:val="32"/>
          <w:szCs w:val="32"/>
        </w:rPr>
      </w:pPr>
      <w:r>
        <w:rPr>
          <w:rFonts w:ascii="黑体" w:hAnsi="黑体" w:eastAsia="黑体"/>
          <w:sz w:val="32"/>
          <w:szCs w:val="32"/>
        </w:rPr>
        <w:t>第二十</w:t>
      </w:r>
      <w:r>
        <w:rPr>
          <w:rFonts w:hint="eastAsia" w:ascii="黑体" w:hAnsi="黑体" w:eastAsia="黑体"/>
          <w:sz w:val="32"/>
          <w:szCs w:val="32"/>
        </w:rPr>
        <w:t>三</w:t>
      </w:r>
      <w:r>
        <w:rPr>
          <w:rFonts w:ascii="黑体" w:hAnsi="黑体" w:eastAsia="黑体"/>
          <w:sz w:val="32"/>
          <w:szCs w:val="32"/>
        </w:rPr>
        <w:t>条</w:t>
      </w:r>
      <w:r>
        <w:rPr>
          <w:rFonts w:hint="eastAsia" w:eastAsia="仿宋_GB2312"/>
          <w:sz w:val="32"/>
          <w:szCs w:val="32"/>
        </w:rPr>
        <w:t xml:space="preserve">  </w:t>
      </w:r>
      <w:r>
        <w:rPr>
          <w:rFonts w:hint="eastAsia" w:ascii="仿宋_GB2312" w:hAnsi="仿宋" w:eastAsia="仿宋_GB2312" w:cs="仿宋"/>
          <w:sz w:val="32"/>
          <w:szCs w:val="32"/>
        </w:rPr>
        <w:t>申报人所在工作单位未依法履行审核职责的，对直接负责的主管人员和其他直接责任人员予以批评教育，并责令采取补救措施；情节严重的，依法追究相关人员责任。评审委员会组建单位未依法履行审核职责的，对其直接负责的主管人员和其他直接责任人员予以批评教育，并责令采取补救措施。</w:t>
      </w:r>
    </w:p>
    <w:p>
      <w:pPr>
        <w:spacing w:line="582" w:lineRule="exact"/>
        <w:ind w:firstLine="640" w:firstLineChars="200"/>
        <w:rPr>
          <w:rFonts w:hint="eastAsia" w:ascii="仿宋_GB2312" w:hAnsi="仿宋" w:eastAsia="仿宋_GB2312" w:cs="仿宋"/>
          <w:sz w:val="32"/>
          <w:szCs w:val="32"/>
        </w:rPr>
      </w:pPr>
      <w:r>
        <w:rPr>
          <w:rFonts w:ascii="黑体" w:hAnsi="黑体" w:eastAsia="黑体"/>
          <w:sz w:val="32"/>
          <w:szCs w:val="32"/>
        </w:rPr>
        <w:t>第二十</w:t>
      </w:r>
      <w:r>
        <w:rPr>
          <w:rFonts w:hint="eastAsia" w:ascii="黑体" w:hAnsi="黑体" w:eastAsia="黑体"/>
          <w:sz w:val="32"/>
          <w:szCs w:val="32"/>
        </w:rPr>
        <w:t>四</w:t>
      </w:r>
      <w:r>
        <w:rPr>
          <w:rFonts w:ascii="黑体" w:hAnsi="黑体" w:eastAsia="黑体"/>
          <w:sz w:val="32"/>
          <w:szCs w:val="32"/>
        </w:rPr>
        <w:t>条</w:t>
      </w:r>
      <w:r>
        <w:rPr>
          <w:rFonts w:hint="eastAsia" w:eastAsia="仿宋_GB2312"/>
          <w:sz w:val="32"/>
          <w:szCs w:val="32"/>
        </w:rPr>
        <w:t xml:space="preserve">  </w:t>
      </w:r>
      <w:r>
        <w:rPr>
          <w:rFonts w:hint="eastAsia" w:ascii="仿宋_GB2312" w:hAnsi="仿宋" w:eastAsia="仿宋_GB2312" w:cs="仿宋"/>
          <w:sz w:val="32"/>
          <w:szCs w:val="32"/>
        </w:rPr>
        <w:t>评审专家应当按有关要求签署评委承诺书，切实履行承诺，强化评审考核，建立倒查追责机制。违反评审纪律，故意泄露专家身份，利用便利为本人或者他人谋取不正当利益的，一经查实，取消其评审专家资格，通报批评并记入职称评审诚信档案库；构成犯罪的，依法追究刑事责任。</w:t>
      </w:r>
    </w:p>
    <w:p>
      <w:pPr>
        <w:spacing w:line="582" w:lineRule="exact"/>
        <w:jc w:val="center"/>
        <w:rPr>
          <w:rFonts w:ascii="黑体" w:hAnsi="黑体" w:eastAsia="黑体"/>
          <w:sz w:val="32"/>
          <w:szCs w:val="32"/>
        </w:rPr>
      </w:pPr>
    </w:p>
    <w:p>
      <w:pPr>
        <w:spacing w:before="156" w:beforeLines="50" w:after="156" w:afterLines="50" w:line="582" w:lineRule="exact"/>
        <w:jc w:val="center"/>
        <w:rPr>
          <w:rFonts w:ascii="黑体" w:hAnsi="黑体" w:eastAsia="黑体"/>
          <w:sz w:val="32"/>
          <w:szCs w:val="32"/>
        </w:rPr>
      </w:pPr>
      <w:r>
        <w:rPr>
          <w:rFonts w:hint="eastAsia" w:ascii="黑体" w:hAnsi="黑体" w:eastAsia="黑体"/>
          <w:sz w:val="32"/>
          <w:szCs w:val="32"/>
        </w:rPr>
        <w:t>第八章 附 则</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本办法作为申报湖南省网信工程专业职称评审的基本条件，有关市（州）、行业主管部门和单位可根据各地、各行业、各单位产业发展和人才队伍建设需要，研究制定适用于本地、本行业、本单位的职称评审或推荐标准条件，但均不得低于本办法规定的标准条件和国家标准。</w:t>
      </w:r>
    </w:p>
    <w:p>
      <w:pPr>
        <w:spacing w:line="582" w:lineRule="exact"/>
        <w:ind w:firstLine="640" w:firstLineChars="200"/>
        <w:rPr>
          <w:rFonts w:ascii="仿宋_GB2312" w:eastAsia="仿宋_GB2312"/>
          <w:spacing w:val="-12"/>
          <w:sz w:val="32"/>
          <w:szCs w:val="32"/>
        </w:rPr>
      </w:pPr>
      <w:r>
        <w:rPr>
          <w:rFonts w:hint="eastAsia" w:ascii="黑体" w:hAnsi="黑体" w:eastAsia="黑体"/>
          <w:sz w:val="32"/>
          <w:szCs w:val="32"/>
        </w:rPr>
        <w:t xml:space="preserve">第二十六条  </w:t>
      </w:r>
      <w:r>
        <w:rPr>
          <w:rFonts w:hint="eastAsia" w:eastAsia="仿宋_GB2312"/>
          <w:sz w:val="32"/>
          <w:szCs w:val="32"/>
        </w:rPr>
        <w:t>突出创新能力、质量、实效、贡献导向，注重评价专业技术人才在网信领域取得的实际工作业绩和成效，重点考察在自主创新方面的业绩，充分发挥职称评价作为人才队伍</w:t>
      </w:r>
      <w:r>
        <w:rPr>
          <w:rFonts w:hint="eastAsia" w:ascii="仿宋_GB2312" w:eastAsia="仿宋_GB2312"/>
          <w:spacing w:val="-12"/>
          <w:sz w:val="32"/>
          <w:szCs w:val="32"/>
        </w:rPr>
        <w:t>“稳定器”、人才发展“指挥棒”、人才集聚“粘合剂”的作用。</w:t>
      </w:r>
    </w:p>
    <w:p>
      <w:pPr>
        <w:spacing w:line="582" w:lineRule="exact"/>
        <w:ind w:firstLine="640" w:firstLineChars="200"/>
        <w:rPr>
          <w:rFonts w:ascii="黑体" w:hAnsi="黑体" w:eastAsia="黑体"/>
          <w:sz w:val="32"/>
          <w:szCs w:val="32"/>
        </w:rPr>
      </w:pPr>
      <w:r>
        <w:rPr>
          <w:rFonts w:hint="eastAsia" w:ascii="黑体" w:hAnsi="黑体" w:eastAsia="黑体"/>
          <w:sz w:val="32"/>
          <w:szCs w:val="32"/>
        </w:rPr>
        <w:t xml:space="preserve">第二十七条  </w:t>
      </w:r>
      <w:r>
        <w:rPr>
          <w:rFonts w:hint="eastAsia" w:eastAsia="仿宋_GB2312"/>
          <w:sz w:val="32"/>
          <w:szCs w:val="32"/>
        </w:rPr>
        <w:t>首次开展网信工程专业职称评价时，已取得其他专业职称的人员，在网信工程专业岗位工作满</w:t>
      </w:r>
      <w:r>
        <w:rPr>
          <w:rFonts w:hint="eastAsia" w:ascii="仿宋_GB2312" w:eastAsia="仿宋_GB2312"/>
          <w:sz w:val="32"/>
          <w:szCs w:val="32"/>
        </w:rPr>
        <w:t>1</w:t>
      </w:r>
      <w:r>
        <w:rPr>
          <w:rFonts w:hint="eastAsia" w:eastAsia="仿宋_GB2312"/>
          <w:sz w:val="32"/>
          <w:szCs w:val="32"/>
        </w:rPr>
        <w:t>年的，可转评同层级网信工程专业职称；符合高一层级职称申报条件的，可申报高一层级网信工程专业职称。</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职称申报参评采取个人自主申报、单位审核推荐、专家综合评议的流程进行。专家综合评议坚持定性与定量评价相结合，切实防止职称评审结果以量化评价指标分数值一</w:t>
      </w:r>
      <w:r>
        <w:rPr>
          <w:rFonts w:hint="eastAsia" w:ascii="仿宋_GB2312" w:hAnsi="仿宋_GB2312" w:eastAsia="仿宋_GB2312" w:cs="仿宋_GB2312"/>
          <w:sz w:val="32"/>
          <w:szCs w:val="32"/>
        </w:rPr>
        <w:t>刀切</w:t>
      </w:r>
      <w:r>
        <w:rPr>
          <w:rFonts w:hint="eastAsia" w:ascii="仿宋_GB2312" w:eastAsia="仿宋_GB2312"/>
          <w:sz w:val="32"/>
          <w:szCs w:val="32"/>
        </w:rPr>
        <w:t>倾向。</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本办法中有关词（语）或概念的特定解释：</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（一）“相关专业”指涉及网络安全和信息化领域的相关专业，包括网络空间安全类、计算机类、数字经济类、电子信息类、通信工程类、互联网治理类等涵盖的专业。</w:t>
      </w:r>
    </w:p>
    <w:p>
      <w:pPr>
        <w:pStyle w:val="81"/>
        <w:widowControl w:val="0"/>
        <w:shd w:val="clear" w:color="auto" w:fill="FFFFFF"/>
        <w:spacing w:before="0" w:beforeAutospacing="0" w:after="0" w:afterAutospacing="0" w:line="582" w:lineRule="exact"/>
        <w:ind w:firstLine="640" w:firstLineChars="200"/>
        <w:jc w:val="both"/>
        <w:rPr>
          <w:rFonts w:ascii="仿宋_GB2312" w:hAnsi="微软雅黑" w:eastAsia="仿宋_GB2312"/>
          <w:spacing w:val="8"/>
          <w:sz w:val="32"/>
          <w:szCs w:val="32"/>
        </w:rPr>
      </w:pPr>
      <w:r>
        <w:rPr>
          <w:rFonts w:hint="eastAsia" w:ascii="仿宋_GB2312" w:eastAsia="仿宋_GB2312"/>
          <w:sz w:val="32"/>
          <w:szCs w:val="32"/>
        </w:rPr>
        <w:t>（二）</w:t>
      </w:r>
      <w:r>
        <w:rPr>
          <w:rFonts w:hint="eastAsia" w:ascii="仿宋_GB2312" w:hAnsi="微软雅黑" w:eastAsia="仿宋_GB2312"/>
          <w:spacing w:val="8"/>
          <w:sz w:val="32"/>
          <w:szCs w:val="32"/>
        </w:rPr>
        <w:t>网信工程专业相关岗位知识要求</w:t>
      </w:r>
    </w:p>
    <w:p>
      <w:pPr>
        <w:pStyle w:val="81"/>
        <w:widowControl w:val="0"/>
        <w:shd w:val="clear" w:color="auto" w:fill="FFFFFF"/>
        <w:spacing w:before="0" w:beforeAutospacing="0" w:after="0" w:afterAutospacing="0" w:line="582" w:lineRule="exact"/>
        <w:ind w:firstLine="675" w:firstLineChars="200"/>
        <w:jc w:val="both"/>
        <w:rPr>
          <w:rFonts w:ascii="仿宋_GB2312" w:hAnsi="微软雅黑" w:eastAsia="仿宋_GB2312"/>
          <w:spacing w:val="8"/>
          <w:sz w:val="32"/>
          <w:szCs w:val="32"/>
        </w:rPr>
      </w:pPr>
      <w:r>
        <w:rPr>
          <w:rFonts w:hint="eastAsia" w:ascii="仿宋_GB2312" w:hAnsi="微软雅黑" w:eastAsia="仿宋_GB2312"/>
          <w:b/>
          <w:spacing w:val="8"/>
          <w:sz w:val="32"/>
          <w:szCs w:val="32"/>
        </w:rPr>
        <w:t>1. 网络空间安全。</w:t>
      </w:r>
      <w:r>
        <w:rPr>
          <w:rFonts w:hint="eastAsia" w:ascii="仿宋_GB2312" w:hAnsi="微软雅黑" w:eastAsia="仿宋_GB2312"/>
          <w:spacing w:val="8"/>
          <w:sz w:val="32"/>
          <w:szCs w:val="32"/>
        </w:rPr>
        <w:t>（1）基础理论知识：高等数学、线性代数、离散数学、密码学、概率论与数理统计、高级语言程序设计、数据结构与算法、计算机原理、数据库原理、操作系统原理、计算机网络、计算机体系结构、信息安全概论、网络安全管理、网络安全法律法规等。（2）专业知识：信息安全数学基础、密码技术、计算机网络安全管理、数字鉴别及认证系统、网络安全检测与防范技术、网络攻防对抗技术、防火墙技术、病毒机制与防护技术、网络安全协议与标准、Web安全、渗透测试、机器学习、人工智能安全、物联网安全、数据安全等。</w:t>
      </w:r>
    </w:p>
    <w:p>
      <w:pPr>
        <w:pStyle w:val="81"/>
        <w:widowControl w:val="0"/>
        <w:shd w:val="clear" w:color="auto" w:fill="FFFFFF"/>
        <w:spacing w:before="0" w:beforeAutospacing="0" w:after="0" w:afterAutospacing="0" w:line="582" w:lineRule="exact"/>
        <w:ind w:firstLine="675" w:firstLineChars="200"/>
        <w:jc w:val="both"/>
        <w:rPr>
          <w:rFonts w:ascii="仿宋_GB2312" w:hAnsi="微软雅黑" w:eastAsia="仿宋_GB2312"/>
          <w:spacing w:val="8"/>
          <w:sz w:val="32"/>
          <w:szCs w:val="32"/>
        </w:rPr>
      </w:pPr>
      <w:r>
        <w:rPr>
          <w:rFonts w:hint="eastAsia" w:ascii="仿宋_GB2312" w:hAnsi="微软雅黑" w:eastAsia="仿宋_GB2312"/>
          <w:b/>
          <w:spacing w:val="8"/>
          <w:sz w:val="32"/>
          <w:szCs w:val="32"/>
        </w:rPr>
        <w:t>2. 网络技术应用。</w:t>
      </w:r>
      <w:r>
        <w:rPr>
          <w:rFonts w:hint="eastAsia" w:ascii="仿宋_GB2312" w:hAnsi="微软雅黑" w:eastAsia="仿宋_GB2312"/>
          <w:spacing w:val="8"/>
          <w:sz w:val="32"/>
          <w:szCs w:val="32"/>
        </w:rPr>
        <w:t>（1）基础理论知识：高等数学、线性代数、概率论与数理统计、离散数学、电路与电子学、数字逻辑电路、数据结构、高级程序语言设计、操作系统原理、计算机组成原理、数据库系统、通信原理、通信系统、现代交换原理、计算机网络组网原理、网络编程技术、人工智能原理、数字经济概论等。（2）专业知识：计算机网络、编码理论、信息论基础、分布式系统、可信计算技术、数字电路、移动通信、云计算、大数据计算与应用、物联网技术、机器学习、数据仓库、数据挖掘、P2P网络、区块链原理与算法、网络安全技术等。</w:t>
      </w:r>
    </w:p>
    <w:p>
      <w:pPr>
        <w:pStyle w:val="81"/>
        <w:widowControl w:val="0"/>
        <w:shd w:val="clear" w:color="auto" w:fill="FFFFFF"/>
        <w:spacing w:before="0" w:beforeAutospacing="0" w:after="0" w:afterAutospacing="0" w:line="582" w:lineRule="exact"/>
        <w:ind w:firstLine="675" w:firstLineChars="200"/>
        <w:jc w:val="both"/>
        <w:rPr>
          <w:rFonts w:ascii="仿宋_GB2312" w:hAnsi="微软雅黑" w:eastAsia="仿宋_GB2312"/>
          <w:spacing w:val="8"/>
          <w:sz w:val="32"/>
          <w:szCs w:val="32"/>
        </w:rPr>
      </w:pPr>
      <w:r>
        <w:rPr>
          <w:rFonts w:hint="eastAsia" w:ascii="仿宋_GB2312" w:hAnsi="微软雅黑" w:eastAsia="仿宋_GB2312"/>
          <w:b/>
          <w:spacing w:val="8"/>
          <w:sz w:val="32"/>
          <w:szCs w:val="32"/>
        </w:rPr>
        <w:t>3. 互联网治理。</w:t>
      </w:r>
      <w:r>
        <w:rPr>
          <w:rFonts w:hint="eastAsia" w:ascii="仿宋_GB2312" w:hAnsi="微软雅黑" w:eastAsia="仿宋_GB2312"/>
          <w:spacing w:val="8"/>
          <w:sz w:val="32"/>
          <w:szCs w:val="32"/>
        </w:rPr>
        <w:t>（1）基础理论知识：高等数学、信息技术概论、程序设计基础、计算机网络、社会学概论、中国文化概论、舆论学、传播学原理、传播心理学、新闻学概论、新闻传播史、网络与新媒体概论、融合新闻学、公共管理、情报学、信息管理、社交媒体、网络管理法律法规等。（2）专业知识：移动互联网技术、数字媒体技术应用、数字多媒体作品创作、高级语言程序设计基础、数据库原理与技术、网页设计与制作、数字媒体概论、新闻采访与写作、媒介融合、网络社会与网络文化、网络媒介数据分析与应用、电子政务、网络舆情监测与研判、网络社会组织行业自律、互联网企业党建、网络综合治理等。</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主持”是指项目（课题/任务）负责人；“主要完成人”是指项目（课题/任务）中承担主要工作或关键性工作，或解决关键问题的研究人员；“参与”是指在项目（课题/任务）中承担次要工作或一般性工作，均以合同书（任务书）约定为准。</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（四）“肯定性批示”指各级党委政府主要领导的批示，批示内容对推动该项工作有积极作用；“采纳应用”指为决策参考提供指导性建议，对推动该项工作有积极作用。</w:t>
      </w:r>
    </w:p>
    <w:p>
      <w:pPr>
        <w:spacing w:line="582" w:lineRule="exact"/>
        <w:ind w:firstLine="640" w:firstLineChars="200"/>
        <w:rPr>
          <w:rFonts w:ascii="仿宋_GB2312" w:eastAsia="仿宋_GB2312"/>
          <w:spacing w:val="-12"/>
          <w:sz w:val="32"/>
          <w:szCs w:val="32"/>
        </w:rPr>
      </w:pPr>
      <w:r>
        <w:rPr>
          <w:rFonts w:hint="eastAsia" w:ascii="仿宋_GB2312" w:eastAsia="仿宋_GB2312"/>
          <w:sz w:val="32"/>
          <w:szCs w:val="32"/>
        </w:rPr>
        <w:t>（五）“专著（译著）”指取得ISBN统一书号，公开出版发行的专业学术专著或译著。“学术、技术论文”指在取得出版刊号（CN或ISSN）、国家级社会团体的专业学术期刊或</w:t>
      </w:r>
      <w:r>
        <w:rPr>
          <w:rFonts w:hint="eastAsia" w:ascii="仿宋_GB2312" w:eastAsia="仿宋_GB2312"/>
          <w:spacing w:val="-12"/>
          <w:sz w:val="32"/>
          <w:szCs w:val="32"/>
        </w:rPr>
        <w:t>学术会议（会议论文集具有ISBN）上公开发表本领域学术文章。</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（六）“论文著作、业绩成果”均须为所申报专业，且要求提供相应的佐证材料。</w:t>
      </w:r>
    </w:p>
    <w:p>
      <w:pPr>
        <w:spacing w:line="582" w:lineRule="exact"/>
        <w:ind w:firstLine="640" w:firstLineChars="200"/>
        <w:rPr>
          <w:rFonts w:hint="eastAsia" w:ascii="仿宋_GB2312" w:eastAsia="仿宋_GB2312"/>
          <w:sz w:val="32"/>
          <w:szCs w:val="32"/>
        </w:rPr>
      </w:pPr>
      <w:r>
        <w:rPr>
          <w:rFonts w:hint="eastAsia" w:ascii="仿宋_GB2312" w:eastAsia="仿宋_GB2312"/>
          <w:sz w:val="32"/>
          <w:szCs w:val="32"/>
        </w:rPr>
        <w:t>（七）本办法所称年为周年，不少于、以上均包含本数。</w:t>
      </w:r>
    </w:p>
    <w:p>
      <w:pPr>
        <w:spacing w:line="582"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申报业绩计算时间为任现职以来至接收申报材料之日止，任职年限截止申报参评年度12月31日。</w:t>
      </w:r>
    </w:p>
    <w:p>
      <w:pPr>
        <w:spacing w:line="582" w:lineRule="exact"/>
        <w:ind w:firstLine="640" w:firstLineChars="200"/>
        <w:rPr>
          <w:rFonts w:ascii="仿宋_GB2312" w:eastAsia="仿宋_GB2312"/>
          <w:spacing w:val="-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本</w:t>
      </w:r>
      <w:r>
        <w:rPr>
          <w:rFonts w:hint="eastAsia" w:ascii="仿宋_GB2312" w:eastAsia="仿宋_GB2312"/>
          <w:spacing w:val="-12"/>
          <w:sz w:val="32"/>
          <w:szCs w:val="32"/>
        </w:rPr>
        <w:t>办法中未尽事宜，按国家和省现行政策执行。</w:t>
      </w:r>
    </w:p>
    <w:p>
      <w:pPr>
        <w:spacing w:line="582" w:lineRule="exact"/>
        <w:ind w:firstLine="640" w:firstLineChars="200"/>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本办法有效期自2022年5月20日</w:t>
      </w:r>
      <w:r>
        <w:rPr>
          <w:rFonts w:hint="eastAsia" w:ascii="仿宋_GB2312" w:hAnsi="仿宋_GB2312" w:eastAsia="仿宋_GB2312" w:cs="仿宋_GB2312"/>
          <w:sz w:val="32"/>
          <w:szCs w:val="32"/>
        </w:rPr>
        <w:t>至2023年12月31日止</w:t>
      </w:r>
      <w:r>
        <w:rPr>
          <w:rFonts w:hint="eastAsia" w:ascii="仿宋_GB2312" w:eastAsia="仿宋_GB2312"/>
          <w:sz w:val="32"/>
          <w:szCs w:val="32"/>
        </w:rPr>
        <w:t>。</w:t>
      </w:r>
    </w:p>
    <w:p>
      <w:pPr>
        <w:pStyle w:val="3"/>
        <w:ind w:left="1680"/>
        <w:rPr>
          <w:rFonts w:hint="eastAsia"/>
        </w:rPr>
      </w:pPr>
    </w:p>
    <w:p>
      <w:pPr>
        <w:rPr>
          <w:rFonts w:hint="eastAsia"/>
        </w:rPr>
      </w:pPr>
    </w:p>
    <w:p>
      <w:pPr>
        <w:pStyle w:val="2"/>
        <w:rPr>
          <w:rFonts w:hint="eastAsia"/>
          <w:lang w:val="en-US" w:eastAsia="zh-CN"/>
        </w:rPr>
      </w:pPr>
    </w:p>
    <w:p>
      <w:pPr>
        <w:pStyle w:val="3"/>
        <w:ind w:left="1680"/>
        <w:rPr>
          <w:rFonts w:hint="eastAsia"/>
        </w:rPr>
      </w:pPr>
    </w:p>
    <w:p>
      <w:pPr>
        <w:rPr>
          <w:rFonts w:hint="eastAsia"/>
        </w:rPr>
      </w:pPr>
    </w:p>
    <w:p>
      <w:pPr>
        <w:pStyle w:val="2"/>
        <w:rPr>
          <w:rFonts w:hint="eastAsia"/>
          <w:lang w:val="en-US" w:eastAsia="zh-CN"/>
        </w:rPr>
      </w:pPr>
    </w:p>
    <w:p>
      <w:pPr>
        <w:pStyle w:val="3"/>
        <w:ind w:left="1680"/>
        <w:rPr>
          <w:rFonts w:hint="eastAsia"/>
        </w:rPr>
      </w:pPr>
    </w:p>
    <w:p>
      <w:pPr>
        <w:rPr>
          <w:rFonts w:hint="eastAsia"/>
        </w:rPr>
      </w:pPr>
    </w:p>
    <w:p>
      <w:pPr>
        <w:pStyle w:val="2"/>
        <w:rPr>
          <w:rFonts w:hint="eastAsia"/>
          <w:lang w:val="en-US" w:eastAsia="zh-CN"/>
        </w:rPr>
      </w:pPr>
    </w:p>
    <w:p>
      <w:pPr>
        <w:pStyle w:val="3"/>
        <w:ind w:left="1680"/>
        <w:rPr>
          <w:rFonts w:hint="eastAsia"/>
        </w:rPr>
      </w:pPr>
    </w:p>
    <w:p>
      <w:pPr>
        <w:rPr>
          <w:rFonts w:hint="eastAsia"/>
        </w:rPr>
      </w:pPr>
    </w:p>
    <w:p>
      <w:pPr>
        <w:pStyle w:val="2"/>
        <w:rPr>
          <w:rFonts w:hint="eastAsia"/>
          <w:lang w:val="en-US" w:eastAsia="zh-CN"/>
        </w:rPr>
      </w:pPr>
    </w:p>
    <w:p>
      <w:pPr>
        <w:pStyle w:val="3"/>
        <w:ind w:left="1680"/>
        <w:rPr>
          <w:rFonts w:hint="eastAsia"/>
        </w:rPr>
      </w:pPr>
    </w:p>
    <w:p>
      <w:pPr>
        <w:rPr>
          <w:rFonts w:hint="eastAsia"/>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bl>
      <w:tblPr>
        <w:tblStyle w:val="88"/>
        <w:tblpPr w:leftFromText="180" w:rightFromText="180" w:vertAnchor="text" w:horzAnchor="margin" w:tblpXSpec="center" w:tblpY="390"/>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12" w:space="0"/>
        </w:tblBorders>
        <w:tblLayout w:type="fixed"/>
        <w:tblCellMar>
          <w:top w:w="0" w:type="dxa"/>
          <w:left w:w="108" w:type="dxa"/>
          <w:bottom w:w="0" w:type="dxa"/>
          <w:right w:w="108" w:type="dxa"/>
        </w:tblCellMar>
      </w:tblPr>
      <w:tblGrid>
        <w:gridCol w:w="872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12" w:space="0"/>
          </w:tblBorders>
          <w:tblCellMar>
            <w:top w:w="0" w:type="dxa"/>
            <w:left w:w="108" w:type="dxa"/>
            <w:bottom w:w="0" w:type="dxa"/>
            <w:right w:w="108" w:type="dxa"/>
          </w:tblCellMar>
        </w:tblPrEx>
        <w:trPr>
          <w:wBefore w:w="0" w:type="dxa"/>
          <w:wAfter w:w="0" w:type="dxa"/>
          <w:trHeight w:val="400" w:hRule="atLeast"/>
        </w:trPr>
        <w:tc>
          <w:tcPr>
            <w:tcW w:w="8720" w:type="dxa"/>
            <w:noWrap w:val="0"/>
            <w:vAlign w:val="top"/>
          </w:tcPr>
          <w:p>
            <w:pPr>
              <w:spacing w:line="520" w:lineRule="exact"/>
              <w:rPr>
                <w:rFonts w:hint="eastAsia" w:ascii="仿宋_GB2312" w:eastAsia="仿宋_GB2312"/>
                <w:spacing w:val="-20"/>
                <w:w w:val="90"/>
                <w:sz w:val="32"/>
                <w:szCs w:val="32"/>
              </w:rPr>
            </w:pPr>
            <w:r>
              <w:rPr>
                <w:rFonts w:hint="eastAsia" w:ascii="仿宋_GB2312" w:eastAsia="仿宋_GB2312"/>
                <w:spacing w:val="-20"/>
                <w:w w:val="90"/>
                <w:sz w:val="32"/>
                <w:szCs w:val="32"/>
              </w:rPr>
              <w:t>中共湖南省委网络安全和信息化委员会办公室综合处     2022年5月18日印发</w:t>
            </w:r>
          </w:p>
        </w:tc>
      </w:tr>
    </w:tbl>
    <w:p>
      <w:pPr>
        <w:spacing w:line="20" w:lineRule="exact"/>
        <w:rPr>
          <w:rFonts w:ascii="仿宋_GB2312" w:hAnsi="仿宋" w:eastAsia="仿宋_GB2312"/>
          <w:sz w:val="32"/>
          <w:szCs w:val="32"/>
        </w:rPr>
      </w:pPr>
    </w:p>
    <w:p>
      <w:pPr>
        <w:spacing w:line="20" w:lineRule="exact"/>
        <w:rPr>
          <w:rFonts w:ascii="仿宋_GB2312" w:hAnsi="仿宋" w:eastAsia="仿宋_GB2312"/>
          <w:sz w:val="32"/>
          <w:szCs w:val="32"/>
        </w:rPr>
      </w:pPr>
    </w:p>
    <w:p>
      <w:pPr>
        <w:pStyle w:val="81"/>
        <w:spacing w:beforeAutospacing="0" w:afterAutospacing="0" w:line="20" w:lineRule="exact"/>
        <w:jc w:val="center"/>
        <w:rPr>
          <w:rFonts w:ascii="方正小标宋_GBK" w:hAnsi="黑体" w:eastAsia="方正小标宋_GBK"/>
          <w:sz w:val="44"/>
          <w:szCs w:val="44"/>
        </w:rPr>
      </w:pPr>
    </w:p>
    <w:p>
      <w:pPr>
        <w:pStyle w:val="81"/>
        <w:spacing w:before="0" w:beforeAutospacing="0" w:after="0" w:afterAutospacing="0"/>
        <w:jc w:val="center"/>
        <w:rPr>
          <w:rFonts w:hint="eastAsia" w:ascii="方正小标宋_GBK" w:hAnsi="黑体" w:eastAsia="方正小标宋_GBK"/>
          <w:sz w:val="44"/>
          <w:szCs w:val="44"/>
        </w:rPr>
      </w:pPr>
    </w:p>
    <w:sectPr>
      <w:pgSz w:w="11906" w:h="16838"/>
      <w:pgMar w:top="1701"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10" w:usb3="00000000" w:csb0="00040000" w:csb1="00000000"/>
  </w:font>
  <w:font w:name="汉仪大宋简">
    <w:altName w:val="宋体"/>
    <w:panose1 w:val="02010609000101010101"/>
    <w:charset w:val="86"/>
    <w:family w:val="modern"/>
    <w:pitch w:val="default"/>
    <w:sig w:usb0="00000001" w:usb1="080E0800" w:usb2="00000012" w:usb3="00000000" w:csb0="00040000" w:csb1="00000000"/>
  </w:font>
  <w:font w:name="方正小标宋简体">
    <w:altName w:val="黑体"/>
    <w:panose1 w:val="02010601030101010101"/>
    <w:charset w:val="86"/>
    <w:family w:val="auto"/>
    <w:pitch w:val="default"/>
    <w:sig w:usb0="00000001" w:usb1="080E0000" w:usb2="0000001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2"/>
        <w:rFonts w:ascii="宋体" w:hAnsi="宋体"/>
        <w:sz w:val="28"/>
        <w:szCs w:val="28"/>
      </w:rPr>
    </w:pPr>
    <w:r>
      <w:rPr>
        <w:rStyle w:val="92"/>
        <w:rFonts w:hint="eastAsia" w:ascii="宋体" w:hAnsi="宋体"/>
        <w:sz w:val="28"/>
        <w:szCs w:val="28"/>
      </w:rPr>
      <w:t xml:space="preserve">— </w:t>
    </w:r>
    <w:r>
      <w:rPr>
        <w:rStyle w:val="92"/>
        <w:rFonts w:ascii="宋体" w:hAnsi="宋体"/>
        <w:sz w:val="28"/>
        <w:szCs w:val="28"/>
      </w:rPr>
      <w:fldChar w:fldCharType="begin"/>
    </w:r>
    <w:r>
      <w:rPr>
        <w:rStyle w:val="92"/>
        <w:rFonts w:ascii="宋体" w:hAnsi="宋体"/>
        <w:sz w:val="28"/>
        <w:szCs w:val="28"/>
      </w:rPr>
      <w:instrText xml:space="preserve">PAGE  </w:instrText>
    </w:r>
    <w:r>
      <w:rPr>
        <w:rStyle w:val="92"/>
        <w:rFonts w:ascii="宋体" w:hAnsi="宋体"/>
        <w:sz w:val="28"/>
        <w:szCs w:val="28"/>
      </w:rPr>
      <w:fldChar w:fldCharType="separate"/>
    </w:r>
    <w:r>
      <w:rPr>
        <w:rStyle w:val="92"/>
        <w:rFonts w:ascii="宋体" w:hAnsi="宋体"/>
        <w:sz w:val="28"/>
        <w:szCs w:val="28"/>
        <w:lang/>
      </w:rPr>
      <w:t>2</w:t>
    </w:r>
    <w:r>
      <w:rPr>
        <w:rStyle w:val="92"/>
        <w:rFonts w:ascii="宋体" w:hAnsi="宋体"/>
        <w:sz w:val="28"/>
        <w:szCs w:val="28"/>
      </w:rPr>
      <w:fldChar w:fldCharType="end"/>
    </w:r>
    <w:r>
      <w:rPr>
        <w:rStyle w:val="92"/>
        <w:rFonts w:hint="eastAsia" w:ascii="宋体" w:hAnsi="宋体"/>
        <w:sz w:val="28"/>
        <w:szCs w:val="28"/>
      </w:rPr>
      <w:t xml:space="preserve"> —</w:t>
    </w:r>
  </w:p>
  <w:p>
    <w:pPr>
      <w:pStyle w:val="2"/>
      <w:ind w:right="360" w:firstLine="360"/>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F2474"/>
    <w:multiLevelType w:val="singleLevel"/>
    <w:tmpl w:val="FA6F2474"/>
    <w:lvl w:ilvl="0" w:tentative="0">
      <w:start w:val="1"/>
      <w:numFmt w:val="chineseCounting"/>
      <w:pStyle w:val="16"/>
      <w:suff w:val="nothing"/>
      <w:lvlText w:val="%1、"/>
      <w:lvlJc w:val="left"/>
      <w:rPr>
        <w:rFonts w:hint="eastAsia"/>
      </w:rPr>
    </w:lvl>
  </w:abstractNum>
  <w:abstractNum w:abstractNumId="1">
    <w:nsid w:val="FFFFFF7D"/>
    <w:multiLevelType w:val="singleLevel"/>
    <w:tmpl w:val="FFFFFF7D"/>
    <w:lvl w:ilvl="0" w:tentative="0">
      <w:start w:val="1"/>
      <w:numFmt w:val="decimal"/>
      <w:pStyle w:val="65"/>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9"/>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8"/>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22"/>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7"/>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7"/>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5"/>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4"/>
      <w:lvlText w:val=""/>
      <w:lvlJc w:val="left"/>
      <w:pPr>
        <w:tabs>
          <w:tab w:val="left" w:pos="360"/>
        </w:tabs>
        <w:ind w:left="360" w:hanging="360"/>
      </w:pPr>
      <w:rPr>
        <w:rFonts w:hint="default" w:ascii="Wingdings" w:hAnsi="Wingdings"/>
      </w:rPr>
    </w:lvl>
  </w:abstractNum>
  <w:num w:numId="1">
    <w:abstractNumId w:val="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MjJkY2E2OGE1NjBiZmQ3OTQzZGJhOWQwZjhiZDAifQ=="/>
  </w:docVars>
  <w:rsids>
    <w:rsidRoot w:val="00790CE7"/>
    <w:rsid w:val="00002073"/>
    <w:rsid w:val="00002303"/>
    <w:rsid w:val="0000266E"/>
    <w:rsid w:val="00002971"/>
    <w:rsid w:val="000054E6"/>
    <w:rsid w:val="0000744C"/>
    <w:rsid w:val="000119DE"/>
    <w:rsid w:val="00012C4D"/>
    <w:rsid w:val="000155BE"/>
    <w:rsid w:val="00015983"/>
    <w:rsid w:val="00016971"/>
    <w:rsid w:val="000172BC"/>
    <w:rsid w:val="000175A0"/>
    <w:rsid w:val="00017825"/>
    <w:rsid w:val="000223F1"/>
    <w:rsid w:val="0002311E"/>
    <w:rsid w:val="00023CE5"/>
    <w:rsid w:val="000270B3"/>
    <w:rsid w:val="00027C70"/>
    <w:rsid w:val="0003007E"/>
    <w:rsid w:val="00030421"/>
    <w:rsid w:val="00033570"/>
    <w:rsid w:val="00034C5E"/>
    <w:rsid w:val="000361E6"/>
    <w:rsid w:val="00037FA0"/>
    <w:rsid w:val="000404A9"/>
    <w:rsid w:val="00046675"/>
    <w:rsid w:val="00046FDB"/>
    <w:rsid w:val="000471D0"/>
    <w:rsid w:val="00047A26"/>
    <w:rsid w:val="00050B63"/>
    <w:rsid w:val="00055A6B"/>
    <w:rsid w:val="00056319"/>
    <w:rsid w:val="00061575"/>
    <w:rsid w:val="00061581"/>
    <w:rsid w:val="00061D68"/>
    <w:rsid w:val="00063615"/>
    <w:rsid w:val="000664F8"/>
    <w:rsid w:val="000814B0"/>
    <w:rsid w:val="0008164C"/>
    <w:rsid w:val="000847CF"/>
    <w:rsid w:val="00087E10"/>
    <w:rsid w:val="00090365"/>
    <w:rsid w:val="00092EF5"/>
    <w:rsid w:val="00096371"/>
    <w:rsid w:val="0009725C"/>
    <w:rsid w:val="000A34D0"/>
    <w:rsid w:val="000A44A0"/>
    <w:rsid w:val="000A4A35"/>
    <w:rsid w:val="000A7FFA"/>
    <w:rsid w:val="000B4AFB"/>
    <w:rsid w:val="000B59DC"/>
    <w:rsid w:val="000B5C91"/>
    <w:rsid w:val="000B6F67"/>
    <w:rsid w:val="000C29F2"/>
    <w:rsid w:val="000C4E84"/>
    <w:rsid w:val="000C53DF"/>
    <w:rsid w:val="000C79F0"/>
    <w:rsid w:val="000D114E"/>
    <w:rsid w:val="000D2338"/>
    <w:rsid w:val="000D71AC"/>
    <w:rsid w:val="000E0FE1"/>
    <w:rsid w:val="000E36E0"/>
    <w:rsid w:val="000E6BBE"/>
    <w:rsid w:val="000E78C7"/>
    <w:rsid w:val="000F0963"/>
    <w:rsid w:val="000F2B9B"/>
    <w:rsid w:val="000F3445"/>
    <w:rsid w:val="000F3905"/>
    <w:rsid w:val="000F4F80"/>
    <w:rsid w:val="000F7D93"/>
    <w:rsid w:val="001030B0"/>
    <w:rsid w:val="001040AD"/>
    <w:rsid w:val="00104DEF"/>
    <w:rsid w:val="0010674C"/>
    <w:rsid w:val="00111F47"/>
    <w:rsid w:val="00114765"/>
    <w:rsid w:val="001179FC"/>
    <w:rsid w:val="0012232B"/>
    <w:rsid w:val="001247D8"/>
    <w:rsid w:val="0012656D"/>
    <w:rsid w:val="0012682B"/>
    <w:rsid w:val="001317EF"/>
    <w:rsid w:val="0013252B"/>
    <w:rsid w:val="001460AD"/>
    <w:rsid w:val="001461E1"/>
    <w:rsid w:val="001475F0"/>
    <w:rsid w:val="00147C5C"/>
    <w:rsid w:val="00150133"/>
    <w:rsid w:val="001514D0"/>
    <w:rsid w:val="001526E2"/>
    <w:rsid w:val="00157A12"/>
    <w:rsid w:val="00160F3C"/>
    <w:rsid w:val="0016123C"/>
    <w:rsid w:val="001616FC"/>
    <w:rsid w:val="001633CB"/>
    <w:rsid w:val="00163DCB"/>
    <w:rsid w:val="00164D0A"/>
    <w:rsid w:val="00164D33"/>
    <w:rsid w:val="001655FA"/>
    <w:rsid w:val="001668C7"/>
    <w:rsid w:val="00172050"/>
    <w:rsid w:val="001739B7"/>
    <w:rsid w:val="00176EDC"/>
    <w:rsid w:val="00177277"/>
    <w:rsid w:val="00180281"/>
    <w:rsid w:val="00181595"/>
    <w:rsid w:val="00181CBB"/>
    <w:rsid w:val="00182BDA"/>
    <w:rsid w:val="00184E36"/>
    <w:rsid w:val="00187BC5"/>
    <w:rsid w:val="001968E9"/>
    <w:rsid w:val="001A02C5"/>
    <w:rsid w:val="001A1F79"/>
    <w:rsid w:val="001A302B"/>
    <w:rsid w:val="001A3938"/>
    <w:rsid w:val="001A4196"/>
    <w:rsid w:val="001B1685"/>
    <w:rsid w:val="001B3556"/>
    <w:rsid w:val="001B414F"/>
    <w:rsid w:val="001B4F3D"/>
    <w:rsid w:val="001B6ADF"/>
    <w:rsid w:val="001B7289"/>
    <w:rsid w:val="001B7C27"/>
    <w:rsid w:val="001C0E9A"/>
    <w:rsid w:val="001C15E6"/>
    <w:rsid w:val="001C4161"/>
    <w:rsid w:val="001C72C5"/>
    <w:rsid w:val="001D0379"/>
    <w:rsid w:val="001D0D9C"/>
    <w:rsid w:val="001D1003"/>
    <w:rsid w:val="001D647C"/>
    <w:rsid w:val="001D7DF7"/>
    <w:rsid w:val="001D7E4B"/>
    <w:rsid w:val="001E02CF"/>
    <w:rsid w:val="001E0923"/>
    <w:rsid w:val="001E612A"/>
    <w:rsid w:val="001E76DC"/>
    <w:rsid w:val="001F2285"/>
    <w:rsid w:val="001F5B5C"/>
    <w:rsid w:val="002000DF"/>
    <w:rsid w:val="00204CA7"/>
    <w:rsid w:val="00204CA9"/>
    <w:rsid w:val="002052E9"/>
    <w:rsid w:val="002061FC"/>
    <w:rsid w:val="00207014"/>
    <w:rsid w:val="00215830"/>
    <w:rsid w:val="002161D0"/>
    <w:rsid w:val="002248B7"/>
    <w:rsid w:val="0022573B"/>
    <w:rsid w:val="00227633"/>
    <w:rsid w:val="0023053F"/>
    <w:rsid w:val="002334F5"/>
    <w:rsid w:val="00235CEF"/>
    <w:rsid w:val="002361EF"/>
    <w:rsid w:val="0023746E"/>
    <w:rsid w:val="00240C13"/>
    <w:rsid w:val="0024214F"/>
    <w:rsid w:val="00245E05"/>
    <w:rsid w:val="00246048"/>
    <w:rsid w:val="00246B3E"/>
    <w:rsid w:val="0025056E"/>
    <w:rsid w:val="0025379F"/>
    <w:rsid w:val="002568BF"/>
    <w:rsid w:val="00261ADE"/>
    <w:rsid w:val="00263F0C"/>
    <w:rsid w:val="002650B4"/>
    <w:rsid w:val="0026585F"/>
    <w:rsid w:val="00267B52"/>
    <w:rsid w:val="00267EF1"/>
    <w:rsid w:val="002708CD"/>
    <w:rsid w:val="00271A9F"/>
    <w:rsid w:val="002849BD"/>
    <w:rsid w:val="00285D6C"/>
    <w:rsid w:val="00290C28"/>
    <w:rsid w:val="00291F1F"/>
    <w:rsid w:val="00294D15"/>
    <w:rsid w:val="0029516D"/>
    <w:rsid w:val="00296619"/>
    <w:rsid w:val="002A15B5"/>
    <w:rsid w:val="002A4F73"/>
    <w:rsid w:val="002A63A7"/>
    <w:rsid w:val="002A7455"/>
    <w:rsid w:val="002A793D"/>
    <w:rsid w:val="002B179A"/>
    <w:rsid w:val="002B49D8"/>
    <w:rsid w:val="002B7403"/>
    <w:rsid w:val="002B7737"/>
    <w:rsid w:val="002C055D"/>
    <w:rsid w:val="002C05E2"/>
    <w:rsid w:val="002C56E5"/>
    <w:rsid w:val="002D0514"/>
    <w:rsid w:val="002D4C1F"/>
    <w:rsid w:val="002D4FAA"/>
    <w:rsid w:val="002D70E2"/>
    <w:rsid w:val="002E0C4A"/>
    <w:rsid w:val="002F005B"/>
    <w:rsid w:val="002F4608"/>
    <w:rsid w:val="002F77E3"/>
    <w:rsid w:val="002F7D64"/>
    <w:rsid w:val="00302AD8"/>
    <w:rsid w:val="00304B0B"/>
    <w:rsid w:val="00306C7A"/>
    <w:rsid w:val="00306E3E"/>
    <w:rsid w:val="0030756B"/>
    <w:rsid w:val="00310D67"/>
    <w:rsid w:val="00311D7D"/>
    <w:rsid w:val="00312B8A"/>
    <w:rsid w:val="003147D2"/>
    <w:rsid w:val="00323815"/>
    <w:rsid w:val="003261C2"/>
    <w:rsid w:val="00326B6F"/>
    <w:rsid w:val="00327014"/>
    <w:rsid w:val="003300C0"/>
    <w:rsid w:val="003336AA"/>
    <w:rsid w:val="0033476D"/>
    <w:rsid w:val="0034025C"/>
    <w:rsid w:val="003404DE"/>
    <w:rsid w:val="003411F0"/>
    <w:rsid w:val="00343D99"/>
    <w:rsid w:val="00345F4F"/>
    <w:rsid w:val="00350DEB"/>
    <w:rsid w:val="003540CD"/>
    <w:rsid w:val="00354E6F"/>
    <w:rsid w:val="0035608E"/>
    <w:rsid w:val="00356F99"/>
    <w:rsid w:val="00362ED9"/>
    <w:rsid w:val="00363C9D"/>
    <w:rsid w:val="00367B30"/>
    <w:rsid w:val="003702EF"/>
    <w:rsid w:val="00380EC2"/>
    <w:rsid w:val="00387229"/>
    <w:rsid w:val="003912CF"/>
    <w:rsid w:val="00391D79"/>
    <w:rsid w:val="00392AB8"/>
    <w:rsid w:val="00392F96"/>
    <w:rsid w:val="00396A5C"/>
    <w:rsid w:val="00396C96"/>
    <w:rsid w:val="00396E58"/>
    <w:rsid w:val="003976B8"/>
    <w:rsid w:val="003A0AE0"/>
    <w:rsid w:val="003A0BBF"/>
    <w:rsid w:val="003A281E"/>
    <w:rsid w:val="003A48E4"/>
    <w:rsid w:val="003A54A6"/>
    <w:rsid w:val="003A6C3C"/>
    <w:rsid w:val="003B056B"/>
    <w:rsid w:val="003B07B7"/>
    <w:rsid w:val="003B092A"/>
    <w:rsid w:val="003B4838"/>
    <w:rsid w:val="003C2DCF"/>
    <w:rsid w:val="003D0380"/>
    <w:rsid w:val="003D09EC"/>
    <w:rsid w:val="003D10C6"/>
    <w:rsid w:val="003D23D4"/>
    <w:rsid w:val="003D3055"/>
    <w:rsid w:val="003D3C3F"/>
    <w:rsid w:val="003D3D34"/>
    <w:rsid w:val="003E1113"/>
    <w:rsid w:val="003F07DA"/>
    <w:rsid w:val="003F10E0"/>
    <w:rsid w:val="003F42A5"/>
    <w:rsid w:val="004074F1"/>
    <w:rsid w:val="00407CAD"/>
    <w:rsid w:val="004102D6"/>
    <w:rsid w:val="00410353"/>
    <w:rsid w:val="00412FD4"/>
    <w:rsid w:val="00413933"/>
    <w:rsid w:val="004202AE"/>
    <w:rsid w:val="00426A1B"/>
    <w:rsid w:val="00426B94"/>
    <w:rsid w:val="00426CDD"/>
    <w:rsid w:val="004276AD"/>
    <w:rsid w:val="00430E7E"/>
    <w:rsid w:val="00431F56"/>
    <w:rsid w:val="0043339A"/>
    <w:rsid w:val="0043436E"/>
    <w:rsid w:val="0044070A"/>
    <w:rsid w:val="00441FD8"/>
    <w:rsid w:val="004451B8"/>
    <w:rsid w:val="00447AC9"/>
    <w:rsid w:val="004514A1"/>
    <w:rsid w:val="00452578"/>
    <w:rsid w:val="00453E2C"/>
    <w:rsid w:val="00455266"/>
    <w:rsid w:val="00457951"/>
    <w:rsid w:val="00457B23"/>
    <w:rsid w:val="00462061"/>
    <w:rsid w:val="00465EB5"/>
    <w:rsid w:val="0046644A"/>
    <w:rsid w:val="00467E08"/>
    <w:rsid w:val="0047038F"/>
    <w:rsid w:val="004712D3"/>
    <w:rsid w:val="004755B6"/>
    <w:rsid w:val="0048029A"/>
    <w:rsid w:val="00480BE4"/>
    <w:rsid w:val="00481590"/>
    <w:rsid w:val="004828B5"/>
    <w:rsid w:val="00483E0E"/>
    <w:rsid w:val="004847A0"/>
    <w:rsid w:val="00487354"/>
    <w:rsid w:val="00490889"/>
    <w:rsid w:val="00490EF7"/>
    <w:rsid w:val="0049181E"/>
    <w:rsid w:val="00491FA1"/>
    <w:rsid w:val="00492C2E"/>
    <w:rsid w:val="00493EA7"/>
    <w:rsid w:val="004951AA"/>
    <w:rsid w:val="00496C01"/>
    <w:rsid w:val="00497DD9"/>
    <w:rsid w:val="004A083F"/>
    <w:rsid w:val="004A08E1"/>
    <w:rsid w:val="004A1856"/>
    <w:rsid w:val="004A1A7F"/>
    <w:rsid w:val="004A3412"/>
    <w:rsid w:val="004A35F4"/>
    <w:rsid w:val="004A7CCE"/>
    <w:rsid w:val="004B2C77"/>
    <w:rsid w:val="004B3EA5"/>
    <w:rsid w:val="004B598B"/>
    <w:rsid w:val="004B7FEA"/>
    <w:rsid w:val="004C0D6D"/>
    <w:rsid w:val="004C220E"/>
    <w:rsid w:val="004C3F18"/>
    <w:rsid w:val="004C4CE9"/>
    <w:rsid w:val="004C5C0E"/>
    <w:rsid w:val="004C5CA2"/>
    <w:rsid w:val="004C5CB6"/>
    <w:rsid w:val="004D0FEF"/>
    <w:rsid w:val="004D106F"/>
    <w:rsid w:val="004D1CFA"/>
    <w:rsid w:val="004D20A9"/>
    <w:rsid w:val="004D5999"/>
    <w:rsid w:val="004D5B24"/>
    <w:rsid w:val="004D6E40"/>
    <w:rsid w:val="004D741D"/>
    <w:rsid w:val="004E11D4"/>
    <w:rsid w:val="004E17D3"/>
    <w:rsid w:val="004E26C1"/>
    <w:rsid w:val="004E36C9"/>
    <w:rsid w:val="004E46BF"/>
    <w:rsid w:val="004E5680"/>
    <w:rsid w:val="004F13A8"/>
    <w:rsid w:val="004F1F9F"/>
    <w:rsid w:val="004F27FF"/>
    <w:rsid w:val="004F2D3B"/>
    <w:rsid w:val="004F4D4B"/>
    <w:rsid w:val="004F6889"/>
    <w:rsid w:val="00501592"/>
    <w:rsid w:val="0050272F"/>
    <w:rsid w:val="00502B72"/>
    <w:rsid w:val="00502E7A"/>
    <w:rsid w:val="005049E2"/>
    <w:rsid w:val="00512264"/>
    <w:rsid w:val="00513D16"/>
    <w:rsid w:val="00515362"/>
    <w:rsid w:val="00522E81"/>
    <w:rsid w:val="00523762"/>
    <w:rsid w:val="0052664E"/>
    <w:rsid w:val="005305B3"/>
    <w:rsid w:val="0053338E"/>
    <w:rsid w:val="00534E83"/>
    <w:rsid w:val="00537809"/>
    <w:rsid w:val="00537A2E"/>
    <w:rsid w:val="00537ABC"/>
    <w:rsid w:val="00537D9D"/>
    <w:rsid w:val="00540F6A"/>
    <w:rsid w:val="00540F7D"/>
    <w:rsid w:val="005421BA"/>
    <w:rsid w:val="005473FB"/>
    <w:rsid w:val="005476A4"/>
    <w:rsid w:val="00547ED1"/>
    <w:rsid w:val="005503DF"/>
    <w:rsid w:val="005524C1"/>
    <w:rsid w:val="0055519E"/>
    <w:rsid w:val="00556A36"/>
    <w:rsid w:val="00560C68"/>
    <w:rsid w:val="00563045"/>
    <w:rsid w:val="00565126"/>
    <w:rsid w:val="0056610B"/>
    <w:rsid w:val="00566440"/>
    <w:rsid w:val="00570073"/>
    <w:rsid w:val="0057049D"/>
    <w:rsid w:val="00571022"/>
    <w:rsid w:val="00584121"/>
    <w:rsid w:val="00585519"/>
    <w:rsid w:val="005863A4"/>
    <w:rsid w:val="00586C49"/>
    <w:rsid w:val="00586F04"/>
    <w:rsid w:val="00590BFF"/>
    <w:rsid w:val="00597FB1"/>
    <w:rsid w:val="005A2B52"/>
    <w:rsid w:val="005A353B"/>
    <w:rsid w:val="005A36F1"/>
    <w:rsid w:val="005A4B01"/>
    <w:rsid w:val="005A58CE"/>
    <w:rsid w:val="005B3F73"/>
    <w:rsid w:val="005B4866"/>
    <w:rsid w:val="005B67B6"/>
    <w:rsid w:val="005C110E"/>
    <w:rsid w:val="005C477A"/>
    <w:rsid w:val="005C4E01"/>
    <w:rsid w:val="005C7DD7"/>
    <w:rsid w:val="005D021F"/>
    <w:rsid w:val="005D0D2A"/>
    <w:rsid w:val="005D212D"/>
    <w:rsid w:val="005D3FCA"/>
    <w:rsid w:val="005D6D0C"/>
    <w:rsid w:val="005E1082"/>
    <w:rsid w:val="005E1EED"/>
    <w:rsid w:val="005E2BD5"/>
    <w:rsid w:val="005E5E81"/>
    <w:rsid w:val="005E7E60"/>
    <w:rsid w:val="005F1F12"/>
    <w:rsid w:val="005F2A98"/>
    <w:rsid w:val="005F2BB1"/>
    <w:rsid w:val="005F572A"/>
    <w:rsid w:val="005F5DE3"/>
    <w:rsid w:val="005F73C8"/>
    <w:rsid w:val="00604688"/>
    <w:rsid w:val="0061015D"/>
    <w:rsid w:val="00613A3E"/>
    <w:rsid w:val="006206E4"/>
    <w:rsid w:val="00620B78"/>
    <w:rsid w:val="00620D04"/>
    <w:rsid w:val="0062660D"/>
    <w:rsid w:val="00626F39"/>
    <w:rsid w:val="006301DE"/>
    <w:rsid w:val="0063174E"/>
    <w:rsid w:val="00632A3C"/>
    <w:rsid w:val="006334CF"/>
    <w:rsid w:val="00634740"/>
    <w:rsid w:val="006352B7"/>
    <w:rsid w:val="00636E8A"/>
    <w:rsid w:val="00640323"/>
    <w:rsid w:val="0064217D"/>
    <w:rsid w:val="00644C99"/>
    <w:rsid w:val="00647FFE"/>
    <w:rsid w:val="0065025B"/>
    <w:rsid w:val="0065178C"/>
    <w:rsid w:val="006551A4"/>
    <w:rsid w:val="00660AB3"/>
    <w:rsid w:val="0066693E"/>
    <w:rsid w:val="00667A22"/>
    <w:rsid w:val="00670D13"/>
    <w:rsid w:val="00673839"/>
    <w:rsid w:val="00676E52"/>
    <w:rsid w:val="00687CB9"/>
    <w:rsid w:val="00690728"/>
    <w:rsid w:val="00690B51"/>
    <w:rsid w:val="00693E02"/>
    <w:rsid w:val="00694530"/>
    <w:rsid w:val="006A1189"/>
    <w:rsid w:val="006A48EA"/>
    <w:rsid w:val="006A5465"/>
    <w:rsid w:val="006A5739"/>
    <w:rsid w:val="006A74EA"/>
    <w:rsid w:val="006B5DE8"/>
    <w:rsid w:val="006B6814"/>
    <w:rsid w:val="006B6AF2"/>
    <w:rsid w:val="006B7D05"/>
    <w:rsid w:val="006C1DEE"/>
    <w:rsid w:val="006C2AAF"/>
    <w:rsid w:val="006C3F8C"/>
    <w:rsid w:val="006C5F62"/>
    <w:rsid w:val="006C6D96"/>
    <w:rsid w:val="006D4317"/>
    <w:rsid w:val="006D4791"/>
    <w:rsid w:val="006E19CB"/>
    <w:rsid w:val="006F24B8"/>
    <w:rsid w:val="006F346A"/>
    <w:rsid w:val="006F3A09"/>
    <w:rsid w:val="006F527F"/>
    <w:rsid w:val="006F6AFB"/>
    <w:rsid w:val="0070042A"/>
    <w:rsid w:val="0070341D"/>
    <w:rsid w:val="007042E4"/>
    <w:rsid w:val="00706B19"/>
    <w:rsid w:val="00706EB0"/>
    <w:rsid w:val="007167F3"/>
    <w:rsid w:val="00720EB1"/>
    <w:rsid w:val="007268E4"/>
    <w:rsid w:val="00726B6C"/>
    <w:rsid w:val="0072725E"/>
    <w:rsid w:val="00732986"/>
    <w:rsid w:val="0073329E"/>
    <w:rsid w:val="00734BD1"/>
    <w:rsid w:val="0073585A"/>
    <w:rsid w:val="00736A70"/>
    <w:rsid w:val="00737860"/>
    <w:rsid w:val="00737CF2"/>
    <w:rsid w:val="00741FD8"/>
    <w:rsid w:val="00742DB8"/>
    <w:rsid w:val="00744903"/>
    <w:rsid w:val="00745F74"/>
    <w:rsid w:val="007463B5"/>
    <w:rsid w:val="007510F5"/>
    <w:rsid w:val="00751E15"/>
    <w:rsid w:val="00753442"/>
    <w:rsid w:val="0075491E"/>
    <w:rsid w:val="0075702A"/>
    <w:rsid w:val="00761327"/>
    <w:rsid w:val="00761DC3"/>
    <w:rsid w:val="00762B2D"/>
    <w:rsid w:val="007638A5"/>
    <w:rsid w:val="00763936"/>
    <w:rsid w:val="007646C5"/>
    <w:rsid w:val="00764FEA"/>
    <w:rsid w:val="007651B6"/>
    <w:rsid w:val="00765F30"/>
    <w:rsid w:val="00766872"/>
    <w:rsid w:val="00766AAE"/>
    <w:rsid w:val="00767758"/>
    <w:rsid w:val="007703E1"/>
    <w:rsid w:val="007722DA"/>
    <w:rsid w:val="007735AD"/>
    <w:rsid w:val="00774D49"/>
    <w:rsid w:val="007760FF"/>
    <w:rsid w:val="00777D07"/>
    <w:rsid w:val="00780F31"/>
    <w:rsid w:val="00783E07"/>
    <w:rsid w:val="007851EA"/>
    <w:rsid w:val="00790CE7"/>
    <w:rsid w:val="00791AF2"/>
    <w:rsid w:val="00792BF1"/>
    <w:rsid w:val="007946A4"/>
    <w:rsid w:val="00795039"/>
    <w:rsid w:val="007A07A6"/>
    <w:rsid w:val="007A286F"/>
    <w:rsid w:val="007A786F"/>
    <w:rsid w:val="007A7C22"/>
    <w:rsid w:val="007B19EB"/>
    <w:rsid w:val="007B2B91"/>
    <w:rsid w:val="007C3B6F"/>
    <w:rsid w:val="007C479A"/>
    <w:rsid w:val="007D1FAB"/>
    <w:rsid w:val="007E427D"/>
    <w:rsid w:val="007E7477"/>
    <w:rsid w:val="007E7B62"/>
    <w:rsid w:val="007E7F52"/>
    <w:rsid w:val="007F189C"/>
    <w:rsid w:val="007F27C8"/>
    <w:rsid w:val="007F5E4E"/>
    <w:rsid w:val="007F697C"/>
    <w:rsid w:val="007F73C6"/>
    <w:rsid w:val="008018A4"/>
    <w:rsid w:val="00801B7C"/>
    <w:rsid w:val="00802E8F"/>
    <w:rsid w:val="008053AD"/>
    <w:rsid w:val="00810249"/>
    <w:rsid w:val="008106EE"/>
    <w:rsid w:val="00811FEB"/>
    <w:rsid w:val="00812CCC"/>
    <w:rsid w:val="008134D4"/>
    <w:rsid w:val="0081393F"/>
    <w:rsid w:val="0081789F"/>
    <w:rsid w:val="00817B7C"/>
    <w:rsid w:val="00820336"/>
    <w:rsid w:val="0082095C"/>
    <w:rsid w:val="00821449"/>
    <w:rsid w:val="008302C6"/>
    <w:rsid w:val="00830B2B"/>
    <w:rsid w:val="00830BAB"/>
    <w:rsid w:val="00831555"/>
    <w:rsid w:val="00831983"/>
    <w:rsid w:val="008319CA"/>
    <w:rsid w:val="00837505"/>
    <w:rsid w:val="00837BF6"/>
    <w:rsid w:val="0084024C"/>
    <w:rsid w:val="0084083B"/>
    <w:rsid w:val="00842AE4"/>
    <w:rsid w:val="00846C9E"/>
    <w:rsid w:val="008475EB"/>
    <w:rsid w:val="00853F86"/>
    <w:rsid w:val="008609D3"/>
    <w:rsid w:val="008629BC"/>
    <w:rsid w:val="008634FA"/>
    <w:rsid w:val="00871E9E"/>
    <w:rsid w:val="00872B8B"/>
    <w:rsid w:val="0087301E"/>
    <w:rsid w:val="00874030"/>
    <w:rsid w:val="00875B7C"/>
    <w:rsid w:val="00877514"/>
    <w:rsid w:val="0088075A"/>
    <w:rsid w:val="00880B72"/>
    <w:rsid w:val="008815FE"/>
    <w:rsid w:val="00882237"/>
    <w:rsid w:val="00883EC9"/>
    <w:rsid w:val="008849F8"/>
    <w:rsid w:val="00884B8E"/>
    <w:rsid w:val="00885976"/>
    <w:rsid w:val="00887455"/>
    <w:rsid w:val="00887929"/>
    <w:rsid w:val="008907DC"/>
    <w:rsid w:val="00891740"/>
    <w:rsid w:val="00893F31"/>
    <w:rsid w:val="008A248D"/>
    <w:rsid w:val="008A323D"/>
    <w:rsid w:val="008A496D"/>
    <w:rsid w:val="008A6F8B"/>
    <w:rsid w:val="008A73E7"/>
    <w:rsid w:val="008B14DB"/>
    <w:rsid w:val="008B1BD2"/>
    <w:rsid w:val="008B2E88"/>
    <w:rsid w:val="008B3662"/>
    <w:rsid w:val="008B5B30"/>
    <w:rsid w:val="008B62F5"/>
    <w:rsid w:val="008B6993"/>
    <w:rsid w:val="008C0435"/>
    <w:rsid w:val="008C3BF9"/>
    <w:rsid w:val="008C5C12"/>
    <w:rsid w:val="008C714B"/>
    <w:rsid w:val="008C7CF3"/>
    <w:rsid w:val="008C7EF2"/>
    <w:rsid w:val="008D0774"/>
    <w:rsid w:val="008D170C"/>
    <w:rsid w:val="008D43AD"/>
    <w:rsid w:val="008E1D3B"/>
    <w:rsid w:val="008E21AF"/>
    <w:rsid w:val="008E4CA5"/>
    <w:rsid w:val="008F108C"/>
    <w:rsid w:val="008F4872"/>
    <w:rsid w:val="008F5FA5"/>
    <w:rsid w:val="008F70F9"/>
    <w:rsid w:val="008F7A8F"/>
    <w:rsid w:val="00900DBA"/>
    <w:rsid w:val="0090138F"/>
    <w:rsid w:val="00902BDD"/>
    <w:rsid w:val="009070C4"/>
    <w:rsid w:val="0091028D"/>
    <w:rsid w:val="009106DB"/>
    <w:rsid w:val="00910AEE"/>
    <w:rsid w:val="0091147F"/>
    <w:rsid w:val="00911B54"/>
    <w:rsid w:val="00914748"/>
    <w:rsid w:val="009166C4"/>
    <w:rsid w:val="00916BA1"/>
    <w:rsid w:val="0092158B"/>
    <w:rsid w:val="0092175F"/>
    <w:rsid w:val="00921F9F"/>
    <w:rsid w:val="00923182"/>
    <w:rsid w:val="009231F1"/>
    <w:rsid w:val="00924F3A"/>
    <w:rsid w:val="00925837"/>
    <w:rsid w:val="0092753C"/>
    <w:rsid w:val="00927F0B"/>
    <w:rsid w:val="00930006"/>
    <w:rsid w:val="0093003F"/>
    <w:rsid w:val="00931295"/>
    <w:rsid w:val="00934D7A"/>
    <w:rsid w:val="00942596"/>
    <w:rsid w:val="0094391D"/>
    <w:rsid w:val="00943A51"/>
    <w:rsid w:val="00945A60"/>
    <w:rsid w:val="00946CF7"/>
    <w:rsid w:val="00946F6B"/>
    <w:rsid w:val="009509AE"/>
    <w:rsid w:val="00953102"/>
    <w:rsid w:val="0095790D"/>
    <w:rsid w:val="00964CD5"/>
    <w:rsid w:val="00966175"/>
    <w:rsid w:val="00966D3E"/>
    <w:rsid w:val="00971BCA"/>
    <w:rsid w:val="00976391"/>
    <w:rsid w:val="0097792A"/>
    <w:rsid w:val="00981073"/>
    <w:rsid w:val="009828A5"/>
    <w:rsid w:val="009846EC"/>
    <w:rsid w:val="009860B4"/>
    <w:rsid w:val="009903CB"/>
    <w:rsid w:val="009915ED"/>
    <w:rsid w:val="00996C59"/>
    <w:rsid w:val="009A4CA8"/>
    <w:rsid w:val="009A71EC"/>
    <w:rsid w:val="009B0AD4"/>
    <w:rsid w:val="009B127C"/>
    <w:rsid w:val="009B2DFF"/>
    <w:rsid w:val="009B7817"/>
    <w:rsid w:val="009C0275"/>
    <w:rsid w:val="009C1B4F"/>
    <w:rsid w:val="009C3A53"/>
    <w:rsid w:val="009C3BFD"/>
    <w:rsid w:val="009C6122"/>
    <w:rsid w:val="009C6E09"/>
    <w:rsid w:val="009D1E75"/>
    <w:rsid w:val="009E1D85"/>
    <w:rsid w:val="009E2F1C"/>
    <w:rsid w:val="009E3D09"/>
    <w:rsid w:val="009E5024"/>
    <w:rsid w:val="009E6C36"/>
    <w:rsid w:val="009F06B7"/>
    <w:rsid w:val="009F26CE"/>
    <w:rsid w:val="009F31C8"/>
    <w:rsid w:val="009F7705"/>
    <w:rsid w:val="00A0000C"/>
    <w:rsid w:val="00A10E1C"/>
    <w:rsid w:val="00A12E1F"/>
    <w:rsid w:val="00A2140D"/>
    <w:rsid w:val="00A22FE4"/>
    <w:rsid w:val="00A248F1"/>
    <w:rsid w:val="00A2546F"/>
    <w:rsid w:val="00A254FC"/>
    <w:rsid w:val="00A2651B"/>
    <w:rsid w:val="00A277D3"/>
    <w:rsid w:val="00A3041D"/>
    <w:rsid w:val="00A30E0B"/>
    <w:rsid w:val="00A31299"/>
    <w:rsid w:val="00A32457"/>
    <w:rsid w:val="00A3283A"/>
    <w:rsid w:val="00A32A66"/>
    <w:rsid w:val="00A40049"/>
    <w:rsid w:val="00A43CF8"/>
    <w:rsid w:val="00A4556C"/>
    <w:rsid w:val="00A465B6"/>
    <w:rsid w:val="00A46D51"/>
    <w:rsid w:val="00A4726F"/>
    <w:rsid w:val="00A545D4"/>
    <w:rsid w:val="00A602C8"/>
    <w:rsid w:val="00A60C8A"/>
    <w:rsid w:val="00A612D6"/>
    <w:rsid w:val="00A677E6"/>
    <w:rsid w:val="00A73EDB"/>
    <w:rsid w:val="00A74527"/>
    <w:rsid w:val="00A74C93"/>
    <w:rsid w:val="00A75894"/>
    <w:rsid w:val="00A80D91"/>
    <w:rsid w:val="00A8420C"/>
    <w:rsid w:val="00A86BE1"/>
    <w:rsid w:val="00A92240"/>
    <w:rsid w:val="00A92C9F"/>
    <w:rsid w:val="00A94A46"/>
    <w:rsid w:val="00A94A98"/>
    <w:rsid w:val="00A95021"/>
    <w:rsid w:val="00A95075"/>
    <w:rsid w:val="00A95543"/>
    <w:rsid w:val="00A95FC0"/>
    <w:rsid w:val="00A97000"/>
    <w:rsid w:val="00A97E7A"/>
    <w:rsid w:val="00AA0A63"/>
    <w:rsid w:val="00AA1137"/>
    <w:rsid w:val="00AA1E7D"/>
    <w:rsid w:val="00AA3547"/>
    <w:rsid w:val="00AA4560"/>
    <w:rsid w:val="00AA75C3"/>
    <w:rsid w:val="00AA7F04"/>
    <w:rsid w:val="00AB1B2A"/>
    <w:rsid w:val="00AB40F6"/>
    <w:rsid w:val="00AB48B8"/>
    <w:rsid w:val="00AB4DFF"/>
    <w:rsid w:val="00AB546A"/>
    <w:rsid w:val="00AB6DC6"/>
    <w:rsid w:val="00AB7215"/>
    <w:rsid w:val="00AD2A41"/>
    <w:rsid w:val="00AD2B5B"/>
    <w:rsid w:val="00AD6203"/>
    <w:rsid w:val="00AE02F3"/>
    <w:rsid w:val="00AE2D67"/>
    <w:rsid w:val="00AF098A"/>
    <w:rsid w:val="00AF0BF7"/>
    <w:rsid w:val="00AF3F7F"/>
    <w:rsid w:val="00AF76C8"/>
    <w:rsid w:val="00B0100E"/>
    <w:rsid w:val="00B02D09"/>
    <w:rsid w:val="00B045C7"/>
    <w:rsid w:val="00B05C3C"/>
    <w:rsid w:val="00B06D18"/>
    <w:rsid w:val="00B076A0"/>
    <w:rsid w:val="00B07D7C"/>
    <w:rsid w:val="00B155AA"/>
    <w:rsid w:val="00B2501F"/>
    <w:rsid w:val="00B27744"/>
    <w:rsid w:val="00B30D9B"/>
    <w:rsid w:val="00B333AA"/>
    <w:rsid w:val="00B3450D"/>
    <w:rsid w:val="00B36AD7"/>
    <w:rsid w:val="00B40795"/>
    <w:rsid w:val="00B44F6F"/>
    <w:rsid w:val="00B454BE"/>
    <w:rsid w:val="00B47A15"/>
    <w:rsid w:val="00B501C9"/>
    <w:rsid w:val="00B51A50"/>
    <w:rsid w:val="00B5249D"/>
    <w:rsid w:val="00B60361"/>
    <w:rsid w:val="00B61CE2"/>
    <w:rsid w:val="00B62305"/>
    <w:rsid w:val="00B66960"/>
    <w:rsid w:val="00B67524"/>
    <w:rsid w:val="00B70E2C"/>
    <w:rsid w:val="00B71124"/>
    <w:rsid w:val="00B746EF"/>
    <w:rsid w:val="00B76178"/>
    <w:rsid w:val="00B77765"/>
    <w:rsid w:val="00B8320B"/>
    <w:rsid w:val="00B83865"/>
    <w:rsid w:val="00B84D7B"/>
    <w:rsid w:val="00B85C87"/>
    <w:rsid w:val="00B90379"/>
    <w:rsid w:val="00B939B6"/>
    <w:rsid w:val="00B93E5C"/>
    <w:rsid w:val="00B943CD"/>
    <w:rsid w:val="00B97C5C"/>
    <w:rsid w:val="00BA4D9E"/>
    <w:rsid w:val="00BA530E"/>
    <w:rsid w:val="00BA6115"/>
    <w:rsid w:val="00BB251C"/>
    <w:rsid w:val="00BB5732"/>
    <w:rsid w:val="00BB71AB"/>
    <w:rsid w:val="00BC0A75"/>
    <w:rsid w:val="00BC284D"/>
    <w:rsid w:val="00BD0160"/>
    <w:rsid w:val="00BD253A"/>
    <w:rsid w:val="00BD4C9E"/>
    <w:rsid w:val="00BD7227"/>
    <w:rsid w:val="00BE118B"/>
    <w:rsid w:val="00BE1953"/>
    <w:rsid w:val="00BE5A35"/>
    <w:rsid w:val="00BF5FE6"/>
    <w:rsid w:val="00C00D3E"/>
    <w:rsid w:val="00C07407"/>
    <w:rsid w:val="00C07C09"/>
    <w:rsid w:val="00C12C77"/>
    <w:rsid w:val="00C17725"/>
    <w:rsid w:val="00C24432"/>
    <w:rsid w:val="00C32575"/>
    <w:rsid w:val="00C332AF"/>
    <w:rsid w:val="00C355D0"/>
    <w:rsid w:val="00C35982"/>
    <w:rsid w:val="00C40FD5"/>
    <w:rsid w:val="00C4184C"/>
    <w:rsid w:val="00C429EC"/>
    <w:rsid w:val="00C4339D"/>
    <w:rsid w:val="00C454BB"/>
    <w:rsid w:val="00C4760E"/>
    <w:rsid w:val="00C5324F"/>
    <w:rsid w:val="00C5395E"/>
    <w:rsid w:val="00C54345"/>
    <w:rsid w:val="00C5436F"/>
    <w:rsid w:val="00C55B20"/>
    <w:rsid w:val="00C55CCA"/>
    <w:rsid w:val="00C56121"/>
    <w:rsid w:val="00C573BE"/>
    <w:rsid w:val="00C614F6"/>
    <w:rsid w:val="00C61614"/>
    <w:rsid w:val="00C61AE6"/>
    <w:rsid w:val="00C6262E"/>
    <w:rsid w:val="00C645CA"/>
    <w:rsid w:val="00C66084"/>
    <w:rsid w:val="00C72681"/>
    <w:rsid w:val="00C7561E"/>
    <w:rsid w:val="00C76456"/>
    <w:rsid w:val="00C80644"/>
    <w:rsid w:val="00C85498"/>
    <w:rsid w:val="00C8635A"/>
    <w:rsid w:val="00C8662A"/>
    <w:rsid w:val="00C8739C"/>
    <w:rsid w:val="00C9002B"/>
    <w:rsid w:val="00C90F21"/>
    <w:rsid w:val="00C92835"/>
    <w:rsid w:val="00C93167"/>
    <w:rsid w:val="00C93918"/>
    <w:rsid w:val="00C9452B"/>
    <w:rsid w:val="00C9545C"/>
    <w:rsid w:val="00C95C52"/>
    <w:rsid w:val="00C963D3"/>
    <w:rsid w:val="00C96795"/>
    <w:rsid w:val="00CA43B8"/>
    <w:rsid w:val="00CA5894"/>
    <w:rsid w:val="00CA60BA"/>
    <w:rsid w:val="00CA65B7"/>
    <w:rsid w:val="00CB169B"/>
    <w:rsid w:val="00CB1C36"/>
    <w:rsid w:val="00CB2038"/>
    <w:rsid w:val="00CB3200"/>
    <w:rsid w:val="00CB3BA0"/>
    <w:rsid w:val="00CC2958"/>
    <w:rsid w:val="00CC2FCE"/>
    <w:rsid w:val="00CC3ED7"/>
    <w:rsid w:val="00CD1951"/>
    <w:rsid w:val="00CD2959"/>
    <w:rsid w:val="00CD2EA0"/>
    <w:rsid w:val="00CD3834"/>
    <w:rsid w:val="00CD3F86"/>
    <w:rsid w:val="00CD42E2"/>
    <w:rsid w:val="00CD4BDD"/>
    <w:rsid w:val="00CD4DF2"/>
    <w:rsid w:val="00CE001C"/>
    <w:rsid w:val="00CE02EB"/>
    <w:rsid w:val="00CE1308"/>
    <w:rsid w:val="00CF0982"/>
    <w:rsid w:val="00CF0FF9"/>
    <w:rsid w:val="00CF1F22"/>
    <w:rsid w:val="00CF480F"/>
    <w:rsid w:val="00CF5744"/>
    <w:rsid w:val="00CF5AC6"/>
    <w:rsid w:val="00D011B9"/>
    <w:rsid w:val="00D0259B"/>
    <w:rsid w:val="00D02725"/>
    <w:rsid w:val="00D036BF"/>
    <w:rsid w:val="00D04B46"/>
    <w:rsid w:val="00D110D7"/>
    <w:rsid w:val="00D1163C"/>
    <w:rsid w:val="00D146EA"/>
    <w:rsid w:val="00D14EB8"/>
    <w:rsid w:val="00D15862"/>
    <w:rsid w:val="00D16C2C"/>
    <w:rsid w:val="00D17F8E"/>
    <w:rsid w:val="00D21137"/>
    <w:rsid w:val="00D2410D"/>
    <w:rsid w:val="00D24F65"/>
    <w:rsid w:val="00D276A7"/>
    <w:rsid w:val="00D30F2F"/>
    <w:rsid w:val="00D37AE8"/>
    <w:rsid w:val="00D40775"/>
    <w:rsid w:val="00D412A2"/>
    <w:rsid w:val="00D43801"/>
    <w:rsid w:val="00D46411"/>
    <w:rsid w:val="00D54738"/>
    <w:rsid w:val="00D54829"/>
    <w:rsid w:val="00D56E13"/>
    <w:rsid w:val="00D62DBE"/>
    <w:rsid w:val="00D65E8B"/>
    <w:rsid w:val="00D6604F"/>
    <w:rsid w:val="00D66A99"/>
    <w:rsid w:val="00D677EC"/>
    <w:rsid w:val="00D7132B"/>
    <w:rsid w:val="00D71597"/>
    <w:rsid w:val="00D71F3A"/>
    <w:rsid w:val="00D72A4C"/>
    <w:rsid w:val="00D73C41"/>
    <w:rsid w:val="00D75553"/>
    <w:rsid w:val="00D759BD"/>
    <w:rsid w:val="00D80CC0"/>
    <w:rsid w:val="00D84C65"/>
    <w:rsid w:val="00D84EE8"/>
    <w:rsid w:val="00D9694E"/>
    <w:rsid w:val="00D97FAB"/>
    <w:rsid w:val="00DA055B"/>
    <w:rsid w:val="00DA0DD0"/>
    <w:rsid w:val="00DA1B7E"/>
    <w:rsid w:val="00DA4A8C"/>
    <w:rsid w:val="00DB351E"/>
    <w:rsid w:val="00DB3D45"/>
    <w:rsid w:val="00DB4328"/>
    <w:rsid w:val="00DB4667"/>
    <w:rsid w:val="00DB4BEB"/>
    <w:rsid w:val="00DC06FB"/>
    <w:rsid w:val="00DC5BC2"/>
    <w:rsid w:val="00DD16C5"/>
    <w:rsid w:val="00DD663E"/>
    <w:rsid w:val="00DD6791"/>
    <w:rsid w:val="00DE0F39"/>
    <w:rsid w:val="00DE281B"/>
    <w:rsid w:val="00DE2F41"/>
    <w:rsid w:val="00DE3B69"/>
    <w:rsid w:val="00DF37E3"/>
    <w:rsid w:val="00DF3A6B"/>
    <w:rsid w:val="00DF5D72"/>
    <w:rsid w:val="00DF7C6F"/>
    <w:rsid w:val="00DF7DED"/>
    <w:rsid w:val="00E00C57"/>
    <w:rsid w:val="00E012D3"/>
    <w:rsid w:val="00E023FF"/>
    <w:rsid w:val="00E03755"/>
    <w:rsid w:val="00E039F4"/>
    <w:rsid w:val="00E04299"/>
    <w:rsid w:val="00E045A6"/>
    <w:rsid w:val="00E04864"/>
    <w:rsid w:val="00E11EF3"/>
    <w:rsid w:val="00E16F10"/>
    <w:rsid w:val="00E17ED9"/>
    <w:rsid w:val="00E254CD"/>
    <w:rsid w:val="00E27448"/>
    <w:rsid w:val="00E326A1"/>
    <w:rsid w:val="00E32CE0"/>
    <w:rsid w:val="00E33CA5"/>
    <w:rsid w:val="00E3531A"/>
    <w:rsid w:val="00E35E19"/>
    <w:rsid w:val="00E379C4"/>
    <w:rsid w:val="00E41584"/>
    <w:rsid w:val="00E45981"/>
    <w:rsid w:val="00E52941"/>
    <w:rsid w:val="00E5509B"/>
    <w:rsid w:val="00E553A4"/>
    <w:rsid w:val="00E60476"/>
    <w:rsid w:val="00E61816"/>
    <w:rsid w:val="00E62192"/>
    <w:rsid w:val="00E62A91"/>
    <w:rsid w:val="00E64EC8"/>
    <w:rsid w:val="00E706F1"/>
    <w:rsid w:val="00E713BA"/>
    <w:rsid w:val="00E72236"/>
    <w:rsid w:val="00E7353F"/>
    <w:rsid w:val="00E73A87"/>
    <w:rsid w:val="00E756CC"/>
    <w:rsid w:val="00E7748E"/>
    <w:rsid w:val="00E8391A"/>
    <w:rsid w:val="00E83D5B"/>
    <w:rsid w:val="00E87281"/>
    <w:rsid w:val="00E87A43"/>
    <w:rsid w:val="00E92A8B"/>
    <w:rsid w:val="00E92B29"/>
    <w:rsid w:val="00E94807"/>
    <w:rsid w:val="00E9607B"/>
    <w:rsid w:val="00E96B74"/>
    <w:rsid w:val="00E970B9"/>
    <w:rsid w:val="00E97273"/>
    <w:rsid w:val="00EA06B3"/>
    <w:rsid w:val="00EA06FA"/>
    <w:rsid w:val="00EA3CA1"/>
    <w:rsid w:val="00EA5456"/>
    <w:rsid w:val="00EA6059"/>
    <w:rsid w:val="00EB0257"/>
    <w:rsid w:val="00EB069A"/>
    <w:rsid w:val="00EB5826"/>
    <w:rsid w:val="00EB6F04"/>
    <w:rsid w:val="00EC0237"/>
    <w:rsid w:val="00EC2190"/>
    <w:rsid w:val="00EC3600"/>
    <w:rsid w:val="00EC4447"/>
    <w:rsid w:val="00EC51D5"/>
    <w:rsid w:val="00EC5F1A"/>
    <w:rsid w:val="00EC6121"/>
    <w:rsid w:val="00ED124C"/>
    <w:rsid w:val="00ED1D6E"/>
    <w:rsid w:val="00ED43A4"/>
    <w:rsid w:val="00ED49B3"/>
    <w:rsid w:val="00ED5335"/>
    <w:rsid w:val="00EE02D7"/>
    <w:rsid w:val="00EE0D43"/>
    <w:rsid w:val="00EE293F"/>
    <w:rsid w:val="00EE2B98"/>
    <w:rsid w:val="00EE42D8"/>
    <w:rsid w:val="00EE45F5"/>
    <w:rsid w:val="00EE534C"/>
    <w:rsid w:val="00EE5C2E"/>
    <w:rsid w:val="00EE5E99"/>
    <w:rsid w:val="00EF0D07"/>
    <w:rsid w:val="00EF43A9"/>
    <w:rsid w:val="00EF4BFE"/>
    <w:rsid w:val="00F01A8F"/>
    <w:rsid w:val="00F03B7A"/>
    <w:rsid w:val="00F055DE"/>
    <w:rsid w:val="00F05B40"/>
    <w:rsid w:val="00F06F69"/>
    <w:rsid w:val="00F07327"/>
    <w:rsid w:val="00F1326D"/>
    <w:rsid w:val="00F14108"/>
    <w:rsid w:val="00F14E9D"/>
    <w:rsid w:val="00F157E7"/>
    <w:rsid w:val="00F16F6B"/>
    <w:rsid w:val="00F22F6B"/>
    <w:rsid w:val="00F269EB"/>
    <w:rsid w:val="00F27AB0"/>
    <w:rsid w:val="00F30333"/>
    <w:rsid w:val="00F304CA"/>
    <w:rsid w:val="00F32793"/>
    <w:rsid w:val="00F32E5D"/>
    <w:rsid w:val="00F34675"/>
    <w:rsid w:val="00F362E5"/>
    <w:rsid w:val="00F37B84"/>
    <w:rsid w:val="00F4498C"/>
    <w:rsid w:val="00F44C35"/>
    <w:rsid w:val="00F45F99"/>
    <w:rsid w:val="00F5038B"/>
    <w:rsid w:val="00F51B02"/>
    <w:rsid w:val="00F5479B"/>
    <w:rsid w:val="00F60455"/>
    <w:rsid w:val="00F61D01"/>
    <w:rsid w:val="00F642FC"/>
    <w:rsid w:val="00F64622"/>
    <w:rsid w:val="00F67651"/>
    <w:rsid w:val="00F7094E"/>
    <w:rsid w:val="00F719C9"/>
    <w:rsid w:val="00F71EA4"/>
    <w:rsid w:val="00F7304C"/>
    <w:rsid w:val="00F73EC0"/>
    <w:rsid w:val="00F8166E"/>
    <w:rsid w:val="00F81907"/>
    <w:rsid w:val="00F8216A"/>
    <w:rsid w:val="00F85460"/>
    <w:rsid w:val="00F86312"/>
    <w:rsid w:val="00F87C10"/>
    <w:rsid w:val="00F915F4"/>
    <w:rsid w:val="00F91C88"/>
    <w:rsid w:val="00F97B73"/>
    <w:rsid w:val="00F97D9D"/>
    <w:rsid w:val="00FA0013"/>
    <w:rsid w:val="00FA027C"/>
    <w:rsid w:val="00FA384A"/>
    <w:rsid w:val="00FA3DE9"/>
    <w:rsid w:val="00FA3F4F"/>
    <w:rsid w:val="00FA6B19"/>
    <w:rsid w:val="00FB19AF"/>
    <w:rsid w:val="00FB2A9C"/>
    <w:rsid w:val="00FB6CB9"/>
    <w:rsid w:val="00FC2897"/>
    <w:rsid w:val="00FC5653"/>
    <w:rsid w:val="00FC7F7A"/>
    <w:rsid w:val="00FD2AD4"/>
    <w:rsid w:val="00FD2D3A"/>
    <w:rsid w:val="00FD3676"/>
    <w:rsid w:val="00FD39C4"/>
    <w:rsid w:val="00FD3A34"/>
    <w:rsid w:val="00FD3E0E"/>
    <w:rsid w:val="00FD598F"/>
    <w:rsid w:val="00FD5EC4"/>
    <w:rsid w:val="00FD6438"/>
    <w:rsid w:val="00FE12AD"/>
    <w:rsid w:val="00FE2035"/>
    <w:rsid w:val="00FE3C03"/>
    <w:rsid w:val="00FE4BCE"/>
    <w:rsid w:val="00FE51C3"/>
    <w:rsid w:val="00FE5FEF"/>
    <w:rsid w:val="00FF5ED2"/>
    <w:rsid w:val="00FF6A1A"/>
    <w:rsid w:val="00FF7854"/>
    <w:rsid w:val="07BE3EE9"/>
    <w:rsid w:val="23E77DB7"/>
    <w:rsid w:val="2ECF0D0A"/>
    <w:rsid w:val="32AF07F2"/>
    <w:rsid w:val="32E55A33"/>
    <w:rsid w:val="3BDDC37A"/>
    <w:rsid w:val="40183AC7"/>
    <w:rsid w:val="44ED3E04"/>
    <w:rsid w:val="4EF97468"/>
    <w:rsid w:val="515801C7"/>
    <w:rsid w:val="55FE2471"/>
    <w:rsid w:val="57C4602A"/>
    <w:rsid w:val="591113D5"/>
    <w:rsid w:val="5EFFEAF4"/>
    <w:rsid w:val="615F7A0E"/>
    <w:rsid w:val="62E57C84"/>
    <w:rsid w:val="65EF0BA9"/>
    <w:rsid w:val="66A173BD"/>
    <w:rsid w:val="6A3117D2"/>
    <w:rsid w:val="6BFD3D3F"/>
    <w:rsid w:val="74EBC875"/>
    <w:rsid w:val="757F64B0"/>
    <w:rsid w:val="76FF52AC"/>
    <w:rsid w:val="77EFF2DE"/>
    <w:rsid w:val="7AFB2FBF"/>
    <w:rsid w:val="7BB63CE5"/>
    <w:rsid w:val="7BC786E8"/>
    <w:rsid w:val="7BE53E20"/>
    <w:rsid w:val="7D2727BA"/>
    <w:rsid w:val="7D7EF6FB"/>
    <w:rsid w:val="7F6F5557"/>
    <w:rsid w:val="ABBFAB09"/>
    <w:rsid w:val="B23F45AD"/>
    <w:rsid w:val="B8DF7968"/>
    <w:rsid w:val="BBD357D0"/>
    <w:rsid w:val="BDEFB29A"/>
    <w:rsid w:val="BDFD29D0"/>
    <w:rsid w:val="BFF7C60F"/>
    <w:rsid w:val="BFFD8F77"/>
    <w:rsid w:val="D7F776C9"/>
    <w:rsid w:val="DFFA0CE5"/>
    <w:rsid w:val="E19F4FCE"/>
    <w:rsid w:val="E3EF53D7"/>
    <w:rsid w:val="EDFB6C67"/>
    <w:rsid w:val="F00CFB3C"/>
    <w:rsid w:val="F731203F"/>
    <w:rsid w:val="F8E36649"/>
    <w:rsid w:val="FBDFCDB4"/>
    <w:rsid w:val="FF7FAE44"/>
    <w:rsid w:val="FFF54FA7"/>
    <w:rsid w:val="FFFB8A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5">
    <w:name w:val="heading 1"/>
    <w:basedOn w:val="1"/>
    <w:next w:val="1"/>
    <w:link w:val="9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00"/>
    <w:qFormat/>
    <w:uiPriority w:val="0"/>
    <w:pPr>
      <w:keepNext/>
      <w:keepLines/>
      <w:spacing w:before="260" w:after="260" w:line="416" w:lineRule="auto"/>
      <w:outlineLvl w:val="1"/>
    </w:pPr>
    <w:rPr>
      <w:rFonts w:ascii="等线 Light" w:hAnsi="等线 Light" w:eastAsia="等线 Light"/>
      <w:b/>
      <w:bCs/>
      <w:sz w:val="32"/>
      <w:szCs w:val="32"/>
    </w:rPr>
  </w:style>
  <w:style w:type="paragraph" w:styleId="7">
    <w:name w:val="heading 3"/>
    <w:basedOn w:val="1"/>
    <w:next w:val="1"/>
    <w:link w:val="101"/>
    <w:qFormat/>
    <w:uiPriority w:val="9"/>
    <w:pPr>
      <w:keepNext/>
      <w:keepLines/>
      <w:spacing w:before="260" w:after="260" w:line="416" w:lineRule="auto"/>
      <w:outlineLvl w:val="2"/>
    </w:pPr>
    <w:rPr>
      <w:rFonts w:ascii="Verdana" w:hAnsi="Verdana"/>
      <w:b/>
      <w:bCs/>
      <w:color w:val="000000"/>
      <w:sz w:val="32"/>
      <w:szCs w:val="32"/>
    </w:rPr>
  </w:style>
  <w:style w:type="paragraph" w:styleId="8">
    <w:name w:val="heading 4"/>
    <w:basedOn w:val="1"/>
    <w:next w:val="1"/>
    <w:link w:val="102"/>
    <w:qFormat/>
    <w:uiPriority w:val="0"/>
    <w:pPr>
      <w:keepNext/>
      <w:keepLines/>
      <w:spacing w:before="280" w:after="290" w:line="376" w:lineRule="auto"/>
      <w:outlineLvl w:val="3"/>
    </w:pPr>
    <w:rPr>
      <w:rFonts w:ascii="等线 Light" w:hAnsi="等线 Light" w:eastAsia="等线 Light"/>
      <w:b/>
      <w:bCs/>
      <w:sz w:val="28"/>
      <w:szCs w:val="28"/>
    </w:rPr>
  </w:style>
  <w:style w:type="paragraph" w:styleId="9">
    <w:name w:val="heading 5"/>
    <w:basedOn w:val="1"/>
    <w:next w:val="1"/>
    <w:link w:val="103"/>
    <w:qFormat/>
    <w:uiPriority w:val="0"/>
    <w:pPr>
      <w:keepNext/>
      <w:keepLines/>
      <w:spacing w:before="280" w:after="290" w:line="376" w:lineRule="auto"/>
      <w:outlineLvl w:val="4"/>
    </w:pPr>
    <w:rPr>
      <w:rFonts w:ascii="Calibri" w:hAnsi="Calibri"/>
      <w:b/>
      <w:bCs/>
      <w:sz w:val="28"/>
      <w:szCs w:val="28"/>
    </w:rPr>
  </w:style>
  <w:style w:type="paragraph" w:styleId="10">
    <w:name w:val="heading 6"/>
    <w:basedOn w:val="1"/>
    <w:next w:val="1"/>
    <w:link w:val="104"/>
    <w:qFormat/>
    <w:uiPriority w:val="0"/>
    <w:pPr>
      <w:keepNext/>
      <w:keepLines/>
      <w:spacing w:before="240" w:after="64" w:line="320" w:lineRule="auto"/>
      <w:outlineLvl w:val="5"/>
    </w:pPr>
    <w:rPr>
      <w:rFonts w:ascii="等线 Light" w:hAnsi="等线 Light" w:eastAsia="等线 Light"/>
      <w:b/>
      <w:bCs/>
      <w:sz w:val="24"/>
      <w:szCs w:val="24"/>
    </w:rPr>
  </w:style>
  <w:style w:type="paragraph" w:styleId="11">
    <w:name w:val="heading 7"/>
    <w:basedOn w:val="1"/>
    <w:next w:val="1"/>
    <w:link w:val="105"/>
    <w:qFormat/>
    <w:uiPriority w:val="0"/>
    <w:pPr>
      <w:keepNext/>
      <w:keepLines/>
      <w:spacing w:before="240" w:after="64" w:line="320" w:lineRule="auto"/>
      <w:outlineLvl w:val="6"/>
    </w:pPr>
    <w:rPr>
      <w:rFonts w:ascii="Calibri" w:hAnsi="Calibri"/>
      <w:b/>
      <w:bCs/>
      <w:sz w:val="24"/>
      <w:szCs w:val="24"/>
    </w:rPr>
  </w:style>
  <w:style w:type="paragraph" w:styleId="12">
    <w:name w:val="heading 8"/>
    <w:basedOn w:val="1"/>
    <w:next w:val="1"/>
    <w:link w:val="106"/>
    <w:qFormat/>
    <w:uiPriority w:val="0"/>
    <w:pPr>
      <w:keepNext/>
      <w:keepLines/>
      <w:spacing w:before="240" w:after="64" w:line="320" w:lineRule="auto"/>
      <w:outlineLvl w:val="7"/>
    </w:pPr>
    <w:rPr>
      <w:rFonts w:ascii="等线 Light" w:hAnsi="等线 Light" w:eastAsia="等线 Light"/>
      <w:sz w:val="24"/>
      <w:szCs w:val="24"/>
    </w:rPr>
  </w:style>
  <w:style w:type="paragraph" w:styleId="13">
    <w:name w:val="heading 9"/>
    <w:basedOn w:val="1"/>
    <w:next w:val="1"/>
    <w:link w:val="107"/>
    <w:qFormat/>
    <w:uiPriority w:val="0"/>
    <w:pPr>
      <w:keepNext/>
      <w:keepLines/>
      <w:spacing w:before="240" w:after="64" w:line="320" w:lineRule="auto"/>
      <w:outlineLvl w:val="8"/>
    </w:pPr>
    <w:rPr>
      <w:rFonts w:ascii="等线 Light" w:hAnsi="等线 Light" w:eastAsia="等线 Light"/>
      <w:szCs w:val="21"/>
    </w:rPr>
  </w:style>
  <w:style w:type="character" w:default="1" w:styleId="90">
    <w:name w:val="Default Paragraph Font"/>
    <w:unhideWhenUsed/>
    <w:uiPriority w:val="1"/>
  </w:style>
  <w:style w:type="table" w:default="1" w:styleId="88">
    <w:name w:val="Normal Table"/>
    <w:unhideWhenUsed/>
    <w:qFormat/>
    <w:uiPriority w:val="99"/>
    <w:tblPr>
      <w:tblStyle w:val="88"/>
      <w:tblCellMar>
        <w:top w:w="0" w:type="dxa"/>
        <w:left w:w="108" w:type="dxa"/>
        <w:bottom w:w="0" w:type="dxa"/>
        <w:right w:w="108" w:type="dxa"/>
      </w:tblCellMar>
    </w:tblPr>
  </w:style>
  <w:style w:type="paragraph" w:styleId="2">
    <w:name w:val="footer"/>
    <w:basedOn w:val="1"/>
    <w:next w:val="3"/>
    <w:link w:val="97"/>
    <w:unhideWhenUsed/>
    <w:qFormat/>
    <w:uiPriority w:val="99"/>
    <w:pPr>
      <w:tabs>
        <w:tab w:val="center" w:pos="4153"/>
        <w:tab w:val="right" w:pos="8306"/>
      </w:tabs>
      <w:snapToGrid w:val="0"/>
      <w:jc w:val="left"/>
    </w:pPr>
    <w:rPr>
      <w:kern w:val="0"/>
      <w:sz w:val="18"/>
      <w:szCs w:val="18"/>
    </w:rPr>
  </w:style>
  <w:style w:type="paragraph" w:styleId="3">
    <w:name w:val="index 5"/>
    <w:basedOn w:val="1"/>
    <w:next w:val="1"/>
    <w:qFormat/>
    <w:uiPriority w:val="0"/>
    <w:pPr>
      <w:ind w:left="800" w:leftChars="800"/>
    </w:pPr>
    <w:rPr>
      <w:rFonts w:ascii="Calibri" w:hAnsi="Calibri"/>
      <w:szCs w:val="24"/>
    </w:rPr>
  </w:style>
  <w:style w:type="paragraph" w:styleId="4">
    <w:name w:val="macro"/>
    <w:link w:val="9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4">
    <w:name w:val="List 3"/>
    <w:basedOn w:val="1"/>
    <w:qFormat/>
    <w:uiPriority w:val="0"/>
    <w:pPr>
      <w:ind w:left="100" w:leftChars="400" w:hanging="200" w:hangingChars="200"/>
      <w:contextualSpacing/>
    </w:pPr>
    <w:rPr>
      <w:rFonts w:ascii="Calibri" w:hAnsi="Calibri"/>
      <w:szCs w:val="24"/>
    </w:rPr>
  </w:style>
  <w:style w:type="paragraph" w:styleId="15">
    <w:name w:val="toc 7"/>
    <w:basedOn w:val="1"/>
    <w:next w:val="1"/>
    <w:unhideWhenUsed/>
    <w:qFormat/>
    <w:uiPriority w:val="39"/>
    <w:pPr>
      <w:ind w:left="2520" w:leftChars="1200"/>
    </w:pPr>
    <w:rPr>
      <w:rFonts w:ascii="等线" w:hAnsi="等线" w:eastAsia="等线"/>
    </w:rPr>
  </w:style>
  <w:style w:type="paragraph" w:styleId="16">
    <w:name w:val="List Number 2"/>
    <w:basedOn w:val="1"/>
    <w:qFormat/>
    <w:uiPriority w:val="0"/>
    <w:pPr>
      <w:numPr>
        <w:ilvl w:val="0"/>
        <w:numId w:val="1"/>
      </w:numPr>
      <w:tabs>
        <w:tab w:val="left" w:pos="780"/>
      </w:tabs>
      <w:contextualSpacing/>
    </w:pPr>
    <w:rPr>
      <w:rFonts w:ascii="Calibri" w:hAnsi="Calibri"/>
      <w:szCs w:val="24"/>
    </w:rPr>
  </w:style>
  <w:style w:type="paragraph" w:styleId="17">
    <w:name w:val="table of authorities"/>
    <w:basedOn w:val="1"/>
    <w:next w:val="1"/>
    <w:qFormat/>
    <w:uiPriority w:val="0"/>
    <w:pPr>
      <w:ind w:left="420" w:leftChars="200"/>
    </w:pPr>
    <w:rPr>
      <w:rFonts w:ascii="Calibri" w:hAnsi="Calibri"/>
      <w:szCs w:val="24"/>
    </w:rPr>
  </w:style>
  <w:style w:type="paragraph" w:styleId="18">
    <w:name w:val="Note Heading"/>
    <w:basedOn w:val="1"/>
    <w:next w:val="1"/>
    <w:link w:val="108"/>
    <w:qFormat/>
    <w:uiPriority w:val="0"/>
    <w:pPr>
      <w:jc w:val="center"/>
    </w:pPr>
    <w:rPr>
      <w:rFonts w:ascii="Calibri" w:hAnsi="Calibri"/>
      <w:szCs w:val="24"/>
    </w:rPr>
  </w:style>
  <w:style w:type="paragraph" w:styleId="19">
    <w:name w:val="List Bullet 4"/>
    <w:basedOn w:val="1"/>
    <w:qFormat/>
    <w:uiPriority w:val="0"/>
    <w:pPr>
      <w:numPr>
        <w:ilvl w:val="0"/>
        <w:numId w:val="2"/>
      </w:numPr>
      <w:tabs>
        <w:tab w:val="left" w:pos="1620"/>
      </w:tabs>
      <w:contextualSpacing/>
    </w:pPr>
    <w:rPr>
      <w:rFonts w:ascii="Calibri" w:hAnsi="Calibri"/>
      <w:szCs w:val="24"/>
    </w:rPr>
  </w:style>
  <w:style w:type="paragraph" w:styleId="20">
    <w:name w:val="index 8"/>
    <w:basedOn w:val="1"/>
    <w:next w:val="1"/>
    <w:qFormat/>
    <w:uiPriority w:val="0"/>
    <w:pPr>
      <w:ind w:left="1400" w:leftChars="1400"/>
    </w:pPr>
    <w:rPr>
      <w:rFonts w:ascii="Calibri" w:hAnsi="Calibri"/>
      <w:szCs w:val="24"/>
    </w:rPr>
  </w:style>
  <w:style w:type="paragraph" w:styleId="21">
    <w:name w:val="E-mail Signature"/>
    <w:basedOn w:val="1"/>
    <w:link w:val="109"/>
    <w:qFormat/>
    <w:uiPriority w:val="0"/>
    <w:rPr>
      <w:rFonts w:ascii="Calibri" w:hAnsi="Calibri"/>
      <w:szCs w:val="24"/>
    </w:rPr>
  </w:style>
  <w:style w:type="paragraph" w:styleId="22">
    <w:name w:val="List Number"/>
    <w:basedOn w:val="1"/>
    <w:qFormat/>
    <w:uiPriority w:val="0"/>
    <w:pPr>
      <w:numPr>
        <w:ilvl w:val="0"/>
        <w:numId w:val="3"/>
      </w:numPr>
      <w:tabs>
        <w:tab w:val="left" w:pos="360"/>
      </w:tabs>
      <w:contextualSpacing/>
    </w:pPr>
    <w:rPr>
      <w:rFonts w:ascii="Calibri" w:hAnsi="Calibri"/>
      <w:szCs w:val="24"/>
    </w:rPr>
  </w:style>
  <w:style w:type="paragraph" w:styleId="23">
    <w:name w:val="Normal Indent"/>
    <w:basedOn w:val="1"/>
    <w:qFormat/>
    <w:uiPriority w:val="0"/>
    <w:pPr>
      <w:ind w:firstLine="420" w:firstLineChars="200"/>
    </w:pPr>
    <w:rPr>
      <w:rFonts w:ascii="Calibri" w:hAnsi="Calibri"/>
      <w:szCs w:val="24"/>
    </w:rPr>
  </w:style>
  <w:style w:type="paragraph" w:styleId="24">
    <w:name w:val="caption"/>
    <w:basedOn w:val="1"/>
    <w:next w:val="1"/>
    <w:qFormat/>
    <w:uiPriority w:val="0"/>
    <w:rPr>
      <w:rFonts w:ascii="等线 Light" w:hAnsi="等线 Light" w:eastAsia="黑体"/>
      <w:sz w:val="20"/>
      <w:szCs w:val="20"/>
    </w:rPr>
  </w:style>
  <w:style w:type="paragraph" w:styleId="25">
    <w:name w:val="List Bullet"/>
    <w:basedOn w:val="1"/>
    <w:qFormat/>
    <w:uiPriority w:val="0"/>
    <w:pPr>
      <w:numPr>
        <w:ilvl w:val="0"/>
        <w:numId w:val="4"/>
      </w:numPr>
      <w:contextualSpacing/>
    </w:pPr>
    <w:rPr>
      <w:rFonts w:ascii="Calibri" w:hAnsi="Calibri"/>
      <w:szCs w:val="24"/>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等线 Light" w:hAnsi="等线 Light" w:eastAsia="等线 Light"/>
      <w:sz w:val="24"/>
      <w:szCs w:val="24"/>
    </w:rPr>
  </w:style>
  <w:style w:type="paragraph" w:styleId="27">
    <w:name w:val="Document Map"/>
    <w:basedOn w:val="1"/>
    <w:link w:val="110"/>
    <w:unhideWhenUsed/>
    <w:qFormat/>
    <w:uiPriority w:val="0"/>
    <w:rPr>
      <w:rFonts w:ascii="宋体"/>
      <w:kern w:val="0"/>
      <w:sz w:val="18"/>
      <w:szCs w:val="18"/>
    </w:rPr>
  </w:style>
  <w:style w:type="paragraph" w:styleId="28">
    <w:name w:val="toa heading"/>
    <w:basedOn w:val="1"/>
    <w:next w:val="1"/>
    <w:qFormat/>
    <w:uiPriority w:val="0"/>
    <w:pPr>
      <w:spacing w:before="120"/>
    </w:pPr>
    <w:rPr>
      <w:rFonts w:ascii="等线 Light" w:hAnsi="等线 Light" w:eastAsia="等线 Light"/>
      <w:sz w:val="24"/>
      <w:szCs w:val="24"/>
    </w:rPr>
  </w:style>
  <w:style w:type="paragraph" w:styleId="29">
    <w:name w:val="annotation text"/>
    <w:basedOn w:val="1"/>
    <w:link w:val="111"/>
    <w:unhideWhenUsed/>
    <w:qFormat/>
    <w:uiPriority w:val="0"/>
    <w:pPr>
      <w:jc w:val="left"/>
    </w:pPr>
  </w:style>
  <w:style w:type="paragraph" w:styleId="30">
    <w:name w:val="index 6"/>
    <w:basedOn w:val="1"/>
    <w:next w:val="1"/>
    <w:qFormat/>
    <w:uiPriority w:val="0"/>
    <w:pPr>
      <w:ind w:left="1000" w:leftChars="1000"/>
    </w:pPr>
    <w:rPr>
      <w:rFonts w:ascii="Calibri" w:hAnsi="Calibri"/>
      <w:szCs w:val="24"/>
    </w:rPr>
  </w:style>
  <w:style w:type="paragraph" w:styleId="31">
    <w:name w:val="Salutation"/>
    <w:basedOn w:val="1"/>
    <w:next w:val="1"/>
    <w:link w:val="112"/>
    <w:qFormat/>
    <w:uiPriority w:val="0"/>
    <w:rPr>
      <w:rFonts w:ascii="Calibri" w:hAnsi="Calibri"/>
      <w:szCs w:val="24"/>
    </w:rPr>
  </w:style>
  <w:style w:type="paragraph" w:styleId="32">
    <w:name w:val="Body Text 3"/>
    <w:basedOn w:val="1"/>
    <w:link w:val="113"/>
    <w:qFormat/>
    <w:uiPriority w:val="0"/>
    <w:pPr>
      <w:spacing w:after="120"/>
    </w:pPr>
    <w:rPr>
      <w:rFonts w:ascii="Calibri" w:hAnsi="Calibri"/>
      <w:sz w:val="16"/>
      <w:szCs w:val="16"/>
    </w:rPr>
  </w:style>
  <w:style w:type="paragraph" w:styleId="33">
    <w:name w:val="Closing"/>
    <w:basedOn w:val="1"/>
    <w:link w:val="114"/>
    <w:qFormat/>
    <w:uiPriority w:val="0"/>
    <w:pPr>
      <w:ind w:left="100" w:leftChars="2100"/>
    </w:pPr>
    <w:rPr>
      <w:rFonts w:ascii="Calibri" w:hAnsi="Calibri"/>
      <w:szCs w:val="24"/>
    </w:rPr>
  </w:style>
  <w:style w:type="paragraph" w:styleId="34">
    <w:name w:val="List Bullet 3"/>
    <w:basedOn w:val="1"/>
    <w:qFormat/>
    <w:uiPriority w:val="0"/>
    <w:pPr>
      <w:numPr>
        <w:ilvl w:val="0"/>
        <w:numId w:val="5"/>
      </w:numPr>
      <w:tabs>
        <w:tab w:val="left" w:pos="1200"/>
      </w:tabs>
      <w:contextualSpacing/>
    </w:pPr>
    <w:rPr>
      <w:rFonts w:ascii="Calibri" w:hAnsi="Calibri"/>
      <w:szCs w:val="24"/>
    </w:rPr>
  </w:style>
  <w:style w:type="paragraph" w:styleId="35">
    <w:name w:val="Body Text"/>
    <w:basedOn w:val="1"/>
    <w:link w:val="115"/>
    <w:qFormat/>
    <w:uiPriority w:val="0"/>
    <w:pPr>
      <w:spacing w:after="120"/>
    </w:pPr>
    <w:rPr>
      <w:rFonts w:ascii="Calibri" w:hAnsi="Calibri"/>
      <w:szCs w:val="24"/>
    </w:rPr>
  </w:style>
  <w:style w:type="paragraph" w:styleId="36">
    <w:name w:val="Body Text Indent"/>
    <w:basedOn w:val="1"/>
    <w:link w:val="116"/>
    <w:qFormat/>
    <w:uiPriority w:val="0"/>
    <w:pPr>
      <w:spacing w:line="360" w:lineRule="auto"/>
      <w:ind w:firstLine="480"/>
    </w:pPr>
    <w:rPr>
      <w:kern w:val="0"/>
      <w:sz w:val="24"/>
      <w:szCs w:val="24"/>
    </w:rPr>
  </w:style>
  <w:style w:type="paragraph" w:styleId="37">
    <w:name w:val="List Number 3"/>
    <w:basedOn w:val="1"/>
    <w:qFormat/>
    <w:uiPriority w:val="0"/>
    <w:pPr>
      <w:numPr>
        <w:ilvl w:val="0"/>
        <w:numId w:val="6"/>
      </w:numPr>
      <w:contextualSpacing/>
    </w:pPr>
    <w:rPr>
      <w:rFonts w:ascii="Calibri" w:hAnsi="Calibri"/>
      <w:szCs w:val="24"/>
    </w:rPr>
  </w:style>
  <w:style w:type="paragraph" w:styleId="38">
    <w:name w:val="List 2"/>
    <w:basedOn w:val="1"/>
    <w:qFormat/>
    <w:uiPriority w:val="0"/>
    <w:pPr>
      <w:ind w:left="100" w:leftChars="200" w:hanging="200" w:hangingChars="200"/>
      <w:contextualSpacing/>
    </w:pPr>
    <w:rPr>
      <w:rFonts w:ascii="Calibri" w:hAnsi="Calibri"/>
      <w:szCs w:val="24"/>
    </w:rPr>
  </w:style>
  <w:style w:type="paragraph" w:styleId="39">
    <w:name w:val="List Continue"/>
    <w:basedOn w:val="1"/>
    <w:qFormat/>
    <w:uiPriority w:val="0"/>
    <w:pPr>
      <w:spacing w:after="120"/>
      <w:ind w:left="420" w:leftChars="200"/>
      <w:contextualSpacing/>
    </w:pPr>
    <w:rPr>
      <w:rFonts w:ascii="Calibri" w:hAnsi="Calibri"/>
      <w:szCs w:val="24"/>
    </w:rPr>
  </w:style>
  <w:style w:type="paragraph" w:styleId="40">
    <w:name w:val="Block Text"/>
    <w:basedOn w:val="1"/>
    <w:qFormat/>
    <w:uiPriority w:val="0"/>
    <w:pPr>
      <w:spacing w:after="120"/>
      <w:ind w:left="1440" w:leftChars="700" w:right="1440" w:rightChars="700"/>
    </w:pPr>
    <w:rPr>
      <w:rFonts w:ascii="Calibri" w:hAnsi="Calibri"/>
      <w:szCs w:val="24"/>
    </w:rPr>
  </w:style>
  <w:style w:type="paragraph" w:styleId="41">
    <w:name w:val="List Bullet 2"/>
    <w:basedOn w:val="1"/>
    <w:qFormat/>
    <w:uiPriority w:val="0"/>
    <w:pPr>
      <w:numPr>
        <w:ilvl w:val="0"/>
        <w:numId w:val="7"/>
      </w:numPr>
      <w:tabs>
        <w:tab w:val="left" w:pos="780"/>
      </w:tabs>
      <w:contextualSpacing/>
    </w:pPr>
    <w:rPr>
      <w:rFonts w:ascii="Calibri" w:hAnsi="Calibri"/>
      <w:szCs w:val="24"/>
    </w:rPr>
  </w:style>
  <w:style w:type="paragraph" w:styleId="42">
    <w:name w:val="HTML Address"/>
    <w:basedOn w:val="1"/>
    <w:link w:val="117"/>
    <w:qFormat/>
    <w:uiPriority w:val="0"/>
    <w:rPr>
      <w:rFonts w:ascii="Calibri" w:hAnsi="Calibri"/>
      <w:i/>
      <w:iCs/>
      <w:szCs w:val="24"/>
    </w:rPr>
  </w:style>
  <w:style w:type="paragraph" w:styleId="43">
    <w:name w:val="index 4"/>
    <w:basedOn w:val="1"/>
    <w:next w:val="1"/>
    <w:qFormat/>
    <w:uiPriority w:val="0"/>
    <w:pPr>
      <w:ind w:left="600" w:leftChars="600"/>
    </w:pPr>
    <w:rPr>
      <w:rFonts w:ascii="Calibri" w:hAnsi="Calibri"/>
      <w:szCs w:val="24"/>
    </w:rPr>
  </w:style>
  <w:style w:type="paragraph" w:styleId="44">
    <w:name w:val="toc 5"/>
    <w:basedOn w:val="1"/>
    <w:next w:val="1"/>
    <w:unhideWhenUsed/>
    <w:qFormat/>
    <w:uiPriority w:val="39"/>
    <w:pPr>
      <w:ind w:left="1680" w:leftChars="800"/>
    </w:pPr>
    <w:rPr>
      <w:rFonts w:ascii="等线" w:hAnsi="等线" w:eastAsia="等线"/>
    </w:rPr>
  </w:style>
  <w:style w:type="paragraph" w:styleId="45">
    <w:name w:val="toc 3"/>
    <w:basedOn w:val="1"/>
    <w:next w:val="1"/>
    <w:qFormat/>
    <w:uiPriority w:val="39"/>
    <w:pPr>
      <w:ind w:left="840" w:leftChars="400"/>
    </w:pPr>
    <w:rPr>
      <w:rFonts w:eastAsia="仿宋_GB2312"/>
      <w:sz w:val="32"/>
    </w:rPr>
  </w:style>
  <w:style w:type="paragraph" w:styleId="46">
    <w:name w:val="Plain Text"/>
    <w:basedOn w:val="1"/>
    <w:link w:val="118"/>
    <w:qFormat/>
    <w:uiPriority w:val="0"/>
    <w:rPr>
      <w:rFonts w:ascii="等线" w:hAnsi="Courier New" w:eastAsia="等线"/>
      <w:szCs w:val="24"/>
    </w:rPr>
  </w:style>
  <w:style w:type="paragraph" w:styleId="47">
    <w:name w:val="List Bullet 5"/>
    <w:basedOn w:val="1"/>
    <w:qFormat/>
    <w:uiPriority w:val="0"/>
    <w:pPr>
      <w:numPr>
        <w:ilvl w:val="0"/>
        <w:numId w:val="8"/>
      </w:numPr>
      <w:tabs>
        <w:tab w:val="left" w:pos="2040"/>
      </w:tabs>
      <w:contextualSpacing/>
    </w:pPr>
    <w:rPr>
      <w:rFonts w:ascii="Calibri" w:hAnsi="Calibri"/>
      <w:szCs w:val="24"/>
    </w:rPr>
  </w:style>
  <w:style w:type="paragraph" w:styleId="48">
    <w:name w:val="List Number 4"/>
    <w:basedOn w:val="1"/>
    <w:qFormat/>
    <w:uiPriority w:val="0"/>
    <w:pPr>
      <w:numPr>
        <w:ilvl w:val="0"/>
        <w:numId w:val="9"/>
      </w:numPr>
      <w:tabs>
        <w:tab w:val="left" w:pos="1620"/>
      </w:tabs>
      <w:contextualSpacing/>
    </w:pPr>
    <w:rPr>
      <w:rFonts w:ascii="Calibri" w:hAnsi="Calibri"/>
      <w:szCs w:val="24"/>
    </w:rPr>
  </w:style>
  <w:style w:type="paragraph" w:styleId="49">
    <w:name w:val="toc 8"/>
    <w:basedOn w:val="1"/>
    <w:next w:val="1"/>
    <w:unhideWhenUsed/>
    <w:qFormat/>
    <w:uiPriority w:val="39"/>
    <w:pPr>
      <w:ind w:left="2940" w:leftChars="1400"/>
    </w:pPr>
    <w:rPr>
      <w:rFonts w:ascii="等线" w:hAnsi="等线" w:eastAsia="等线"/>
    </w:rPr>
  </w:style>
  <w:style w:type="paragraph" w:styleId="50">
    <w:name w:val="index 3"/>
    <w:basedOn w:val="1"/>
    <w:next w:val="1"/>
    <w:qFormat/>
    <w:uiPriority w:val="0"/>
    <w:pPr>
      <w:ind w:left="400" w:leftChars="400"/>
    </w:pPr>
    <w:rPr>
      <w:rFonts w:ascii="Calibri" w:hAnsi="Calibri"/>
      <w:szCs w:val="24"/>
    </w:rPr>
  </w:style>
  <w:style w:type="paragraph" w:styleId="51">
    <w:name w:val="Date"/>
    <w:basedOn w:val="1"/>
    <w:next w:val="1"/>
    <w:link w:val="119"/>
    <w:unhideWhenUsed/>
    <w:qFormat/>
    <w:uiPriority w:val="0"/>
    <w:pPr>
      <w:ind w:left="100" w:leftChars="2500"/>
    </w:pPr>
  </w:style>
  <w:style w:type="paragraph" w:styleId="52">
    <w:name w:val="Body Text Indent 2"/>
    <w:basedOn w:val="1"/>
    <w:link w:val="120"/>
    <w:qFormat/>
    <w:uiPriority w:val="0"/>
    <w:pPr>
      <w:spacing w:after="120" w:line="480" w:lineRule="auto"/>
      <w:ind w:left="420" w:leftChars="200"/>
    </w:pPr>
    <w:rPr>
      <w:rFonts w:ascii="Calibri" w:hAnsi="Calibri"/>
      <w:szCs w:val="24"/>
    </w:rPr>
  </w:style>
  <w:style w:type="paragraph" w:styleId="53">
    <w:name w:val="endnote text"/>
    <w:basedOn w:val="1"/>
    <w:link w:val="121"/>
    <w:qFormat/>
    <w:uiPriority w:val="0"/>
    <w:pPr>
      <w:snapToGrid w:val="0"/>
      <w:jc w:val="left"/>
    </w:pPr>
    <w:rPr>
      <w:rFonts w:ascii="Calibri" w:hAnsi="Calibri"/>
      <w:szCs w:val="24"/>
    </w:rPr>
  </w:style>
  <w:style w:type="paragraph" w:styleId="54">
    <w:name w:val="List Continue 5"/>
    <w:basedOn w:val="1"/>
    <w:qFormat/>
    <w:uiPriority w:val="0"/>
    <w:pPr>
      <w:spacing w:after="120"/>
      <w:ind w:left="2100" w:leftChars="1000"/>
      <w:contextualSpacing/>
    </w:pPr>
    <w:rPr>
      <w:rFonts w:ascii="Calibri" w:hAnsi="Calibri"/>
      <w:szCs w:val="24"/>
    </w:rPr>
  </w:style>
  <w:style w:type="paragraph" w:styleId="55">
    <w:name w:val="Balloon Text"/>
    <w:basedOn w:val="1"/>
    <w:link w:val="122"/>
    <w:unhideWhenUsed/>
    <w:qFormat/>
    <w:uiPriority w:val="0"/>
    <w:rPr>
      <w:kern w:val="0"/>
      <w:sz w:val="18"/>
      <w:szCs w:val="18"/>
    </w:rPr>
  </w:style>
  <w:style w:type="paragraph" w:styleId="56">
    <w:name w:val="envelope return"/>
    <w:basedOn w:val="1"/>
    <w:qFormat/>
    <w:uiPriority w:val="0"/>
    <w:pPr>
      <w:snapToGrid w:val="0"/>
    </w:pPr>
    <w:rPr>
      <w:rFonts w:ascii="等线 Light" w:hAnsi="等线 Light" w:eastAsia="等线 Light"/>
      <w:szCs w:val="24"/>
    </w:rPr>
  </w:style>
  <w:style w:type="paragraph" w:styleId="57">
    <w:name w:val="header"/>
    <w:basedOn w:val="1"/>
    <w:link w:val="12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24"/>
    <w:qFormat/>
    <w:uiPriority w:val="0"/>
    <w:pPr>
      <w:ind w:left="100" w:leftChars="2100"/>
    </w:pPr>
    <w:rPr>
      <w:rFonts w:ascii="Calibri" w:hAnsi="Calibri"/>
      <w:szCs w:val="24"/>
    </w:rPr>
  </w:style>
  <w:style w:type="paragraph" w:styleId="59">
    <w:name w:val="toc 1"/>
    <w:basedOn w:val="1"/>
    <w:next w:val="1"/>
    <w:qFormat/>
    <w:uiPriority w:val="39"/>
    <w:rPr>
      <w:rFonts w:ascii="Times New Roman" w:hAnsi="Times New Roman" w:eastAsia="黑体"/>
      <w:sz w:val="32"/>
      <w:szCs w:val="24"/>
    </w:rPr>
  </w:style>
  <w:style w:type="paragraph" w:styleId="60">
    <w:name w:val="List Continue 4"/>
    <w:basedOn w:val="1"/>
    <w:qFormat/>
    <w:uiPriority w:val="0"/>
    <w:pPr>
      <w:spacing w:after="120"/>
      <w:ind w:left="1680" w:leftChars="800"/>
      <w:contextualSpacing/>
    </w:pPr>
    <w:rPr>
      <w:rFonts w:ascii="Calibri" w:hAnsi="Calibri"/>
      <w:szCs w:val="24"/>
    </w:rPr>
  </w:style>
  <w:style w:type="paragraph" w:styleId="61">
    <w:name w:val="toc 4"/>
    <w:basedOn w:val="1"/>
    <w:next w:val="1"/>
    <w:unhideWhenUsed/>
    <w:qFormat/>
    <w:uiPriority w:val="39"/>
    <w:pPr>
      <w:ind w:left="1260" w:leftChars="600"/>
    </w:pPr>
    <w:rPr>
      <w:rFonts w:ascii="等线" w:hAnsi="等线" w:eastAsia="等线"/>
    </w:rPr>
  </w:style>
  <w:style w:type="paragraph" w:styleId="62">
    <w:name w:val="index heading"/>
    <w:basedOn w:val="1"/>
    <w:next w:val="63"/>
    <w:qFormat/>
    <w:uiPriority w:val="0"/>
    <w:rPr>
      <w:rFonts w:ascii="等线 Light" w:hAnsi="等线 Light" w:eastAsia="等线 Light"/>
      <w:b/>
      <w:bCs/>
      <w:szCs w:val="24"/>
    </w:rPr>
  </w:style>
  <w:style w:type="paragraph" w:styleId="63">
    <w:name w:val="index 1"/>
    <w:basedOn w:val="1"/>
    <w:next w:val="1"/>
    <w:unhideWhenUsed/>
    <w:qFormat/>
    <w:uiPriority w:val="0"/>
    <w:rPr>
      <w:rFonts w:ascii="Calibri" w:hAnsi="Calibri"/>
      <w:szCs w:val="24"/>
    </w:rPr>
  </w:style>
  <w:style w:type="paragraph" w:styleId="64">
    <w:name w:val="Subtitle"/>
    <w:basedOn w:val="1"/>
    <w:next w:val="1"/>
    <w:link w:val="125"/>
    <w:qFormat/>
    <w:uiPriority w:val="0"/>
    <w:pPr>
      <w:spacing w:before="240" w:after="60" w:line="312" w:lineRule="auto"/>
      <w:jc w:val="center"/>
      <w:outlineLvl w:val="1"/>
    </w:pPr>
    <w:rPr>
      <w:rFonts w:ascii="等线" w:hAnsi="等线" w:eastAsia="等线"/>
      <w:b/>
      <w:bCs/>
      <w:kern w:val="28"/>
      <w:sz w:val="32"/>
      <w:szCs w:val="32"/>
    </w:rPr>
  </w:style>
  <w:style w:type="paragraph" w:styleId="65">
    <w:name w:val="List Number 5"/>
    <w:basedOn w:val="1"/>
    <w:qFormat/>
    <w:uiPriority w:val="0"/>
    <w:pPr>
      <w:numPr>
        <w:ilvl w:val="0"/>
        <w:numId w:val="10"/>
      </w:numPr>
      <w:tabs>
        <w:tab w:val="left" w:pos="2040"/>
      </w:tabs>
      <w:contextualSpacing/>
    </w:pPr>
    <w:rPr>
      <w:rFonts w:ascii="Calibri" w:hAnsi="Calibri"/>
      <w:szCs w:val="24"/>
    </w:rPr>
  </w:style>
  <w:style w:type="paragraph" w:styleId="66">
    <w:name w:val="List"/>
    <w:basedOn w:val="1"/>
    <w:qFormat/>
    <w:uiPriority w:val="0"/>
    <w:pPr>
      <w:ind w:left="200" w:hanging="200" w:hangingChars="200"/>
      <w:contextualSpacing/>
    </w:pPr>
    <w:rPr>
      <w:rFonts w:ascii="Calibri" w:hAnsi="Calibri"/>
      <w:szCs w:val="24"/>
    </w:rPr>
  </w:style>
  <w:style w:type="paragraph" w:styleId="67">
    <w:name w:val="footnote text"/>
    <w:basedOn w:val="1"/>
    <w:link w:val="126"/>
    <w:qFormat/>
    <w:uiPriority w:val="0"/>
    <w:pPr>
      <w:snapToGrid w:val="0"/>
      <w:jc w:val="left"/>
    </w:pPr>
    <w:rPr>
      <w:sz w:val="18"/>
      <w:szCs w:val="18"/>
    </w:rPr>
  </w:style>
  <w:style w:type="paragraph" w:styleId="68">
    <w:name w:val="toc 6"/>
    <w:basedOn w:val="1"/>
    <w:next w:val="1"/>
    <w:unhideWhenUsed/>
    <w:qFormat/>
    <w:uiPriority w:val="39"/>
    <w:pPr>
      <w:ind w:left="2100" w:leftChars="1000"/>
    </w:pPr>
    <w:rPr>
      <w:rFonts w:ascii="等线" w:hAnsi="等线" w:eastAsia="等线"/>
    </w:rPr>
  </w:style>
  <w:style w:type="paragraph" w:styleId="69">
    <w:name w:val="List 5"/>
    <w:basedOn w:val="1"/>
    <w:qFormat/>
    <w:uiPriority w:val="0"/>
    <w:pPr>
      <w:ind w:left="100" w:leftChars="800" w:hanging="200" w:hangingChars="200"/>
      <w:contextualSpacing/>
    </w:pPr>
    <w:rPr>
      <w:rFonts w:ascii="Calibri" w:hAnsi="Calibri"/>
      <w:szCs w:val="24"/>
    </w:rPr>
  </w:style>
  <w:style w:type="paragraph" w:styleId="70">
    <w:name w:val="Body Text Indent 3"/>
    <w:basedOn w:val="1"/>
    <w:link w:val="127"/>
    <w:qFormat/>
    <w:uiPriority w:val="0"/>
    <w:pPr>
      <w:spacing w:after="120"/>
      <w:ind w:left="420" w:leftChars="200"/>
    </w:pPr>
    <w:rPr>
      <w:rFonts w:ascii="Calibri" w:hAnsi="Calibri"/>
      <w:sz w:val="16"/>
      <w:szCs w:val="16"/>
    </w:rPr>
  </w:style>
  <w:style w:type="paragraph" w:styleId="71">
    <w:name w:val="index 7"/>
    <w:basedOn w:val="1"/>
    <w:next w:val="1"/>
    <w:qFormat/>
    <w:uiPriority w:val="0"/>
    <w:pPr>
      <w:ind w:left="1200" w:leftChars="1200"/>
    </w:pPr>
    <w:rPr>
      <w:rFonts w:ascii="Calibri" w:hAnsi="Calibri"/>
      <w:szCs w:val="24"/>
    </w:rPr>
  </w:style>
  <w:style w:type="paragraph" w:styleId="72">
    <w:name w:val="index 9"/>
    <w:basedOn w:val="1"/>
    <w:next w:val="1"/>
    <w:qFormat/>
    <w:uiPriority w:val="0"/>
    <w:pPr>
      <w:ind w:left="1600" w:leftChars="1600"/>
    </w:pPr>
    <w:rPr>
      <w:rFonts w:ascii="Calibri" w:hAnsi="Calibri"/>
      <w:szCs w:val="24"/>
    </w:rPr>
  </w:style>
  <w:style w:type="paragraph" w:styleId="73">
    <w:name w:val="table of figures"/>
    <w:basedOn w:val="1"/>
    <w:next w:val="1"/>
    <w:qFormat/>
    <w:uiPriority w:val="0"/>
    <w:pPr>
      <w:ind w:left="200" w:leftChars="200" w:hanging="200" w:hangingChars="200"/>
    </w:pPr>
    <w:rPr>
      <w:rFonts w:ascii="Calibri" w:hAnsi="Calibri"/>
      <w:szCs w:val="24"/>
    </w:rPr>
  </w:style>
  <w:style w:type="paragraph" w:styleId="74">
    <w:name w:val="toc 2"/>
    <w:basedOn w:val="1"/>
    <w:next w:val="1"/>
    <w:qFormat/>
    <w:uiPriority w:val="39"/>
    <w:pPr>
      <w:tabs>
        <w:tab w:val="right" w:leader="dot" w:pos="8296"/>
      </w:tabs>
      <w:spacing w:line="360" w:lineRule="exact"/>
      <w:ind w:left="420" w:leftChars="200"/>
    </w:pPr>
    <w:rPr>
      <w:rFonts w:ascii="楷体" w:hAnsi="楷体" w:eastAsia="楷体"/>
      <w:sz w:val="32"/>
      <w:szCs w:val="32"/>
    </w:rPr>
  </w:style>
  <w:style w:type="paragraph" w:styleId="75">
    <w:name w:val="toc 9"/>
    <w:basedOn w:val="1"/>
    <w:next w:val="1"/>
    <w:unhideWhenUsed/>
    <w:qFormat/>
    <w:uiPriority w:val="39"/>
    <w:pPr>
      <w:ind w:left="3360" w:leftChars="1600"/>
    </w:pPr>
    <w:rPr>
      <w:rFonts w:ascii="等线" w:hAnsi="等线" w:eastAsia="等线"/>
    </w:rPr>
  </w:style>
  <w:style w:type="paragraph" w:styleId="76">
    <w:name w:val="Body Text 2"/>
    <w:basedOn w:val="1"/>
    <w:link w:val="128"/>
    <w:qFormat/>
    <w:uiPriority w:val="0"/>
    <w:pPr>
      <w:spacing w:after="120" w:line="480" w:lineRule="auto"/>
    </w:pPr>
    <w:rPr>
      <w:rFonts w:ascii="Calibri" w:hAnsi="Calibri"/>
      <w:szCs w:val="24"/>
    </w:rPr>
  </w:style>
  <w:style w:type="paragraph" w:styleId="77">
    <w:name w:val="List 4"/>
    <w:basedOn w:val="1"/>
    <w:qFormat/>
    <w:uiPriority w:val="0"/>
    <w:pPr>
      <w:ind w:left="100" w:leftChars="600" w:hanging="200" w:hangingChars="200"/>
      <w:contextualSpacing/>
    </w:pPr>
    <w:rPr>
      <w:rFonts w:ascii="Calibri" w:hAnsi="Calibri"/>
      <w:szCs w:val="24"/>
    </w:rPr>
  </w:style>
  <w:style w:type="paragraph" w:styleId="78">
    <w:name w:val="List Continue 2"/>
    <w:basedOn w:val="1"/>
    <w:qFormat/>
    <w:uiPriority w:val="0"/>
    <w:pPr>
      <w:spacing w:after="120"/>
      <w:ind w:left="840" w:leftChars="400"/>
      <w:contextualSpacing/>
    </w:pPr>
    <w:rPr>
      <w:rFonts w:ascii="Calibri" w:hAnsi="Calibri"/>
      <w:szCs w:val="24"/>
    </w:r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szCs w:val="24"/>
    </w:rPr>
  </w:style>
  <w:style w:type="paragraph" w:styleId="80">
    <w:name w:val="HTML Preformatted"/>
    <w:basedOn w:val="1"/>
    <w:link w:val="13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2">
    <w:name w:val="List Continue 3"/>
    <w:basedOn w:val="1"/>
    <w:qFormat/>
    <w:uiPriority w:val="0"/>
    <w:pPr>
      <w:spacing w:after="120"/>
      <w:ind w:left="1260" w:leftChars="600"/>
      <w:contextualSpacing/>
    </w:pPr>
    <w:rPr>
      <w:rFonts w:ascii="Calibri" w:hAnsi="Calibri"/>
      <w:szCs w:val="24"/>
    </w:rPr>
  </w:style>
  <w:style w:type="paragraph" w:styleId="83">
    <w:name w:val="index 2"/>
    <w:basedOn w:val="1"/>
    <w:next w:val="1"/>
    <w:qFormat/>
    <w:uiPriority w:val="0"/>
    <w:pPr>
      <w:ind w:left="200" w:leftChars="200"/>
    </w:pPr>
    <w:rPr>
      <w:rFonts w:ascii="Calibri" w:hAnsi="Calibri"/>
      <w:szCs w:val="24"/>
    </w:rPr>
  </w:style>
  <w:style w:type="paragraph" w:styleId="84">
    <w:name w:val="Title"/>
    <w:basedOn w:val="1"/>
    <w:next w:val="1"/>
    <w:link w:val="131"/>
    <w:qFormat/>
    <w:uiPriority w:val="0"/>
    <w:pPr>
      <w:spacing w:before="240" w:after="60"/>
      <w:jc w:val="center"/>
      <w:outlineLvl w:val="0"/>
    </w:pPr>
    <w:rPr>
      <w:rFonts w:ascii="等线 Light" w:hAnsi="等线 Light" w:eastAsia="等线 Light"/>
      <w:b/>
      <w:bCs/>
      <w:sz w:val="32"/>
      <w:szCs w:val="32"/>
    </w:rPr>
  </w:style>
  <w:style w:type="paragraph" w:styleId="85">
    <w:name w:val="annotation subject"/>
    <w:basedOn w:val="29"/>
    <w:next w:val="29"/>
    <w:link w:val="132"/>
    <w:qFormat/>
    <w:uiPriority w:val="0"/>
    <w:rPr>
      <w:b/>
      <w:bCs/>
      <w:kern w:val="0"/>
      <w:sz w:val="20"/>
      <w:szCs w:val="20"/>
    </w:rPr>
  </w:style>
  <w:style w:type="paragraph" w:styleId="86">
    <w:name w:val="Body Text First Indent"/>
    <w:basedOn w:val="35"/>
    <w:link w:val="133"/>
    <w:qFormat/>
    <w:uiPriority w:val="0"/>
    <w:pPr>
      <w:ind w:firstLine="420" w:firstLineChars="100"/>
    </w:pPr>
  </w:style>
  <w:style w:type="paragraph" w:styleId="87">
    <w:name w:val="Body Text First Indent 2"/>
    <w:basedOn w:val="36"/>
    <w:link w:val="134"/>
    <w:unhideWhenUsed/>
    <w:qFormat/>
    <w:uiPriority w:val="0"/>
    <w:pPr>
      <w:spacing w:after="120" w:line="240" w:lineRule="auto"/>
      <w:ind w:left="420" w:leftChars="200" w:firstLine="420" w:firstLineChars="200"/>
    </w:pPr>
    <w:rPr>
      <w:kern w:val="2"/>
      <w:sz w:val="21"/>
      <w:szCs w:val="22"/>
    </w:rPr>
  </w:style>
  <w:style w:type="table" w:styleId="89">
    <w:name w:val="Table Grid"/>
    <w:basedOn w:val="88"/>
    <w:qFormat/>
    <w:uiPriority w:val="59"/>
    <w:tblPr>
      <w:tblStyle w:val="8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0"/>
    <w:rPr>
      <w:rFonts w:cs="Times New Roman"/>
      <w:b/>
    </w:rPr>
  </w:style>
  <w:style w:type="character" w:styleId="92">
    <w:name w:val="page number"/>
    <w:unhideWhenUsed/>
    <w:qFormat/>
    <w:uiPriority w:val="0"/>
  </w:style>
  <w:style w:type="character" w:styleId="93">
    <w:name w:val="Emphasis"/>
    <w:qFormat/>
    <w:uiPriority w:val="20"/>
    <w:rPr>
      <w:color w:val="CC0000"/>
    </w:rPr>
  </w:style>
  <w:style w:type="character" w:styleId="94">
    <w:name w:val="Hyperlink"/>
    <w:qFormat/>
    <w:uiPriority w:val="99"/>
    <w:rPr>
      <w:rFonts w:cs="Times New Roman"/>
      <w:color w:val="0000FF"/>
      <w:u w:val="single"/>
    </w:rPr>
  </w:style>
  <w:style w:type="character" w:styleId="95">
    <w:name w:val="annotation reference"/>
    <w:qFormat/>
    <w:uiPriority w:val="0"/>
    <w:rPr>
      <w:rFonts w:cs="Times New Roman"/>
      <w:sz w:val="21"/>
    </w:rPr>
  </w:style>
  <w:style w:type="character" w:styleId="96">
    <w:name w:val="footnote reference"/>
    <w:qFormat/>
    <w:uiPriority w:val="0"/>
    <w:rPr>
      <w:rFonts w:cs="Times New Roman"/>
      <w:vertAlign w:val="superscript"/>
    </w:rPr>
  </w:style>
  <w:style w:type="character" w:customStyle="1" w:styleId="97">
    <w:name w:val="页脚 Char"/>
    <w:link w:val="2"/>
    <w:qFormat/>
    <w:uiPriority w:val="99"/>
    <w:rPr>
      <w:sz w:val="18"/>
      <w:szCs w:val="18"/>
    </w:rPr>
  </w:style>
  <w:style w:type="character" w:customStyle="1" w:styleId="98">
    <w:name w:val="宏文本 Char"/>
    <w:link w:val="4"/>
    <w:qFormat/>
    <w:uiPriority w:val="0"/>
    <w:rPr>
      <w:rFonts w:ascii="Courier New" w:hAnsi="Courier New" w:cs="Courier New"/>
      <w:kern w:val="2"/>
      <w:sz w:val="24"/>
      <w:szCs w:val="24"/>
      <w:lang w:val="en-US" w:eastAsia="zh-CN" w:bidi="ar-SA"/>
    </w:rPr>
  </w:style>
  <w:style w:type="character" w:customStyle="1" w:styleId="99">
    <w:name w:val="标题 1 Char"/>
    <w:link w:val="5"/>
    <w:qFormat/>
    <w:uiPriority w:val="0"/>
    <w:rPr>
      <w:b/>
      <w:bCs/>
      <w:kern w:val="44"/>
      <w:sz w:val="44"/>
      <w:szCs w:val="44"/>
    </w:rPr>
  </w:style>
  <w:style w:type="character" w:customStyle="1" w:styleId="100">
    <w:name w:val="标题 2 Char"/>
    <w:link w:val="6"/>
    <w:qFormat/>
    <w:uiPriority w:val="0"/>
    <w:rPr>
      <w:rFonts w:ascii="等线 Light" w:hAnsi="等线 Light" w:eastAsia="等线 Light"/>
      <w:b/>
      <w:bCs/>
      <w:kern w:val="2"/>
      <w:sz w:val="32"/>
      <w:szCs w:val="32"/>
    </w:rPr>
  </w:style>
  <w:style w:type="character" w:customStyle="1" w:styleId="101">
    <w:name w:val="标题 3 Char"/>
    <w:link w:val="7"/>
    <w:qFormat/>
    <w:uiPriority w:val="9"/>
    <w:rPr>
      <w:rFonts w:ascii="Verdana" w:hAnsi="Verdana"/>
      <w:b/>
      <w:bCs/>
      <w:color w:val="000000"/>
      <w:kern w:val="2"/>
      <w:sz w:val="32"/>
      <w:szCs w:val="32"/>
    </w:rPr>
  </w:style>
  <w:style w:type="character" w:customStyle="1" w:styleId="102">
    <w:name w:val="标题 4 Char"/>
    <w:link w:val="8"/>
    <w:qFormat/>
    <w:uiPriority w:val="0"/>
    <w:rPr>
      <w:rFonts w:ascii="等线 Light" w:hAnsi="等线 Light" w:eastAsia="等线 Light"/>
      <w:b/>
      <w:bCs/>
      <w:kern w:val="2"/>
      <w:sz w:val="28"/>
      <w:szCs w:val="28"/>
    </w:rPr>
  </w:style>
  <w:style w:type="character" w:customStyle="1" w:styleId="103">
    <w:name w:val="标题 5 Char"/>
    <w:link w:val="9"/>
    <w:qFormat/>
    <w:uiPriority w:val="0"/>
    <w:rPr>
      <w:rFonts w:ascii="Calibri" w:hAnsi="Calibri"/>
      <w:b/>
      <w:bCs/>
      <w:kern w:val="2"/>
      <w:sz w:val="28"/>
      <w:szCs w:val="28"/>
    </w:rPr>
  </w:style>
  <w:style w:type="character" w:customStyle="1" w:styleId="104">
    <w:name w:val="标题 6 Char"/>
    <w:link w:val="10"/>
    <w:qFormat/>
    <w:uiPriority w:val="0"/>
    <w:rPr>
      <w:rFonts w:ascii="等线 Light" w:hAnsi="等线 Light" w:eastAsia="等线 Light"/>
      <w:b/>
      <w:bCs/>
      <w:kern w:val="2"/>
      <w:sz w:val="24"/>
      <w:szCs w:val="24"/>
    </w:rPr>
  </w:style>
  <w:style w:type="character" w:customStyle="1" w:styleId="105">
    <w:name w:val="标题 7 Char"/>
    <w:link w:val="11"/>
    <w:qFormat/>
    <w:uiPriority w:val="0"/>
    <w:rPr>
      <w:rFonts w:ascii="Calibri" w:hAnsi="Calibri"/>
      <w:b/>
      <w:bCs/>
      <w:kern w:val="2"/>
      <w:sz w:val="24"/>
      <w:szCs w:val="24"/>
    </w:rPr>
  </w:style>
  <w:style w:type="character" w:customStyle="1" w:styleId="106">
    <w:name w:val="标题 8 Char"/>
    <w:link w:val="12"/>
    <w:qFormat/>
    <w:uiPriority w:val="0"/>
    <w:rPr>
      <w:rFonts w:ascii="等线 Light" w:hAnsi="等线 Light" w:eastAsia="等线 Light"/>
      <w:kern w:val="2"/>
      <w:sz w:val="24"/>
      <w:szCs w:val="24"/>
    </w:rPr>
  </w:style>
  <w:style w:type="character" w:customStyle="1" w:styleId="107">
    <w:name w:val="标题 9 Char"/>
    <w:link w:val="13"/>
    <w:qFormat/>
    <w:uiPriority w:val="0"/>
    <w:rPr>
      <w:rFonts w:ascii="等线 Light" w:hAnsi="等线 Light" w:eastAsia="等线 Light"/>
      <w:kern w:val="2"/>
      <w:sz w:val="21"/>
      <w:szCs w:val="21"/>
    </w:rPr>
  </w:style>
  <w:style w:type="character" w:customStyle="1" w:styleId="108">
    <w:name w:val="注释标题 Char"/>
    <w:link w:val="18"/>
    <w:qFormat/>
    <w:uiPriority w:val="0"/>
    <w:rPr>
      <w:rFonts w:ascii="Calibri" w:hAnsi="Calibri"/>
      <w:kern w:val="2"/>
      <w:sz w:val="21"/>
      <w:szCs w:val="24"/>
    </w:rPr>
  </w:style>
  <w:style w:type="character" w:customStyle="1" w:styleId="109">
    <w:name w:val="电子邮件签名 Char"/>
    <w:link w:val="21"/>
    <w:qFormat/>
    <w:uiPriority w:val="0"/>
    <w:rPr>
      <w:rFonts w:ascii="Calibri" w:hAnsi="Calibri"/>
      <w:kern w:val="2"/>
      <w:sz w:val="21"/>
      <w:szCs w:val="24"/>
    </w:rPr>
  </w:style>
  <w:style w:type="character" w:customStyle="1" w:styleId="110">
    <w:name w:val="文档结构图 Char"/>
    <w:link w:val="27"/>
    <w:qFormat/>
    <w:uiPriority w:val="0"/>
    <w:rPr>
      <w:rFonts w:ascii="宋体" w:eastAsia="宋体"/>
      <w:sz w:val="18"/>
      <w:szCs w:val="18"/>
    </w:rPr>
  </w:style>
  <w:style w:type="character" w:customStyle="1" w:styleId="111">
    <w:name w:val="批注文字 Char"/>
    <w:link w:val="29"/>
    <w:qFormat/>
    <w:uiPriority w:val="0"/>
    <w:rPr>
      <w:kern w:val="2"/>
      <w:sz w:val="21"/>
      <w:szCs w:val="22"/>
    </w:rPr>
  </w:style>
  <w:style w:type="character" w:customStyle="1" w:styleId="112">
    <w:name w:val="称呼 Char"/>
    <w:link w:val="31"/>
    <w:qFormat/>
    <w:uiPriority w:val="0"/>
    <w:rPr>
      <w:rFonts w:ascii="Calibri" w:hAnsi="Calibri"/>
      <w:kern w:val="2"/>
      <w:sz w:val="21"/>
      <w:szCs w:val="24"/>
    </w:rPr>
  </w:style>
  <w:style w:type="character" w:customStyle="1" w:styleId="113">
    <w:name w:val="正文文本 3 Char"/>
    <w:link w:val="32"/>
    <w:qFormat/>
    <w:uiPriority w:val="0"/>
    <w:rPr>
      <w:rFonts w:ascii="Calibri" w:hAnsi="Calibri"/>
      <w:kern w:val="2"/>
      <w:sz w:val="16"/>
      <w:szCs w:val="16"/>
    </w:rPr>
  </w:style>
  <w:style w:type="character" w:customStyle="1" w:styleId="114">
    <w:name w:val="结束语 Char"/>
    <w:link w:val="33"/>
    <w:qFormat/>
    <w:uiPriority w:val="0"/>
    <w:rPr>
      <w:rFonts w:ascii="Calibri" w:hAnsi="Calibri"/>
      <w:kern w:val="2"/>
      <w:sz w:val="21"/>
      <w:szCs w:val="24"/>
    </w:rPr>
  </w:style>
  <w:style w:type="character" w:customStyle="1" w:styleId="115">
    <w:name w:val="正文文本 Char"/>
    <w:link w:val="35"/>
    <w:qFormat/>
    <w:uiPriority w:val="0"/>
    <w:rPr>
      <w:rFonts w:ascii="Calibri" w:hAnsi="Calibri"/>
      <w:kern w:val="2"/>
      <w:sz w:val="21"/>
      <w:szCs w:val="24"/>
    </w:rPr>
  </w:style>
  <w:style w:type="character" w:customStyle="1" w:styleId="116">
    <w:name w:val="正文文本缩进 Char1"/>
    <w:link w:val="36"/>
    <w:qFormat/>
    <w:uiPriority w:val="0"/>
    <w:rPr>
      <w:rFonts w:ascii="Times New Roman" w:hAnsi="Times New Roman"/>
      <w:sz w:val="24"/>
      <w:szCs w:val="24"/>
    </w:rPr>
  </w:style>
  <w:style w:type="character" w:customStyle="1" w:styleId="117">
    <w:name w:val="HTML 地址 Char"/>
    <w:link w:val="42"/>
    <w:qFormat/>
    <w:uiPriority w:val="0"/>
    <w:rPr>
      <w:rFonts w:ascii="Calibri" w:hAnsi="Calibri"/>
      <w:i/>
      <w:iCs/>
      <w:kern w:val="2"/>
      <w:sz w:val="21"/>
      <w:szCs w:val="24"/>
    </w:rPr>
  </w:style>
  <w:style w:type="character" w:customStyle="1" w:styleId="118">
    <w:name w:val="纯文本 Char"/>
    <w:link w:val="46"/>
    <w:qFormat/>
    <w:uiPriority w:val="0"/>
    <w:rPr>
      <w:rFonts w:ascii="等线" w:hAnsi="Courier New" w:eastAsia="等线" w:cs="Courier New"/>
      <w:kern w:val="2"/>
      <w:sz w:val="21"/>
      <w:szCs w:val="24"/>
    </w:rPr>
  </w:style>
  <w:style w:type="character" w:customStyle="1" w:styleId="119">
    <w:name w:val="日期 Char"/>
    <w:link w:val="51"/>
    <w:qFormat/>
    <w:uiPriority w:val="0"/>
    <w:rPr>
      <w:kern w:val="2"/>
      <w:sz w:val="21"/>
      <w:szCs w:val="22"/>
    </w:rPr>
  </w:style>
  <w:style w:type="character" w:customStyle="1" w:styleId="120">
    <w:name w:val="正文文本缩进 2 Char"/>
    <w:link w:val="52"/>
    <w:qFormat/>
    <w:uiPriority w:val="0"/>
    <w:rPr>
      <w:rFonts w:ascii="Calibri" w:hAnsi="Calibri"/>
      <w:kern w:val="2"/>
      <w:sz w:val="21"/>
      <w:szCs w:val="24"/>
    </w:rPr>
  </w:style>
  <w:style w:type="character" w:customStyle="1" w:styleId="121">
    <w:name w:val="尾注文本 Char"/>
    <w:link w:val="53"/>
    <w:qFormat/>
    <w:uiPriority w:val="0"/>
    <w:rPr>
      <w:rFonts w:ascii="Calibri" w:hAnsi="Calibri"/>
      <w:kern w:val="2"/>
      <w:sz w:val="21"/>
      <w:szCs w:val="24"/>
    </w:rPr>
  </w:style>
  <w:style w:type="character" w:customStyle="1" w:styleId="122">
    <w:name w:val="批注框文本 Char"/>
    <w:link w:val="55"/>
    <w:qFormat/>
    <w:uiPriority w:val="0"/>
    <w:rPr>
      <w:sz w:val="18"/>
      <w:szCs w:val="18"/>
    </w:rPr>
  </w:style>
  <w:style w:type="character" w:customStyle="1" w:styleId="123">
    <w:name w:val="页眉 Char"/>
    <w:link w:val="57"/>
    <w:qFormat/>
    <w:uiPriority w:val="0"/>
    <w:rPr>
      <w:sz w:val="18"/>
      <w:szCs w:val="18"/>
    </w:rPr>
  </w:style>
  <w:style w:type="character" w:customStyle="1" w:styleId="124">
    <w:name w:val="签名 Char"/>
    <w:link w:val="58"/>
    <w:qFormat/>
    <w:uiPriority w:val="0"/>
    <w:rPr>
      <w:rFonts w:ascii="Calibri" w:hAnsi="Calibri"/>
      <w:kern w:val="2"/>
      <w:sz w:val="21"/>
      <w:szCs w:val="24"/>
    </w:rPr>
  </w:style>
  <w:style w:type="character" w:customStyle="1" w:styleId="125">
    <w:name w:val="副标题 Char"/>
    <w:link w:val="64"/>
    <w:qFormat/>
    <w:uiPriority w:val="0"/>
    <w:rPr>
      <w:rFonts w:ascii="等线" w:hAnsi="等线" w:eastAsia="等线"/>
      <w:b/>
      <w:bCs/>
      <w:kern w:val="28"/>
      <w:sz w:val="32"/>
      <w:szCs w:val="32"/>
    </w:rPr>
  </w:style>
  <w:style w:type="character" w:customStyle="1" w:styleId="126">
    <w:name w:val="脚注文本 Char"/>
    <w:link w:val="67"/>
    <w:qFormat/>
    <w:uiPriority w:val="0"/>
    <w:rPr>
      <w:kern w:val="2"/>
      <w:sz w:val="18"/>
      <w:szCs w:val="18"/>
    </w:rPr>
  </w:style>
  <w:style w:type="character" w:customStyle="1" w:styleId="127">
    <w:name w:val="正文文本缩进 3 Char"/>
    <w:link w:val="70"/>
    <w:qFormat/>
    <w:uiPriority w:val="0"/>
    <w:rPr>
      <w:rFonts w:ascii="Calibri" w:hAnsi="Calibri"/>
      <w:kern w:val="2"/>
      <w:sz w:val="16"/>
      <w:szCs w:val="16"/>
    </w:rPr>
  </w:style>
  <w:style w:type="character" w:customStyle="1" w:styleId="128">
    <w:name w:val="正文文本 2 Char"/>
    <w:link w:val="76"/>
    <w:qFormat/>
    <w:uiPriority w:val="0"/>
    <w:rPr>
      <w:rFonts w:ascii="Calibri" w:hAnsi="Calibri"/>
      <w:kern w:val="2"/>
      <w:sz w:val="21"/>
      <w:szCs w:val="24"/>
    </w:rPr>
  </w:style>
  <w:style w:type="character" w:customStyle="1" w:styleId="129">
    <w:name w:val="信息标题 Char"/>
    <w:link w:val="79"/>
    <w:qFormat/>
    <w:uiPriority w:val="0"/>
    <w:rPr>
      <w:rFonts w:ascii="等线 Light" w:hAnsi="等线 Light" w:eastAsia="等线 Light"/>
      <w:kern w:val="2"/>
      <w:sz w:val="24"/>
      <w:szCs w:val="24"/>
      <w:shd w:val="pct20" w:color="auto" w:fill="auto"/>
    </w:rPr>
  </w:style>
  <w:style w:type="character" w:customStyle="1" w:styleId="130">
    <w:name w:val="HTML 预设格式 Char"/>
    <w:link w:val="80"/>
    <w:qFormat/>
    <w:uiPriority w:val="0"/>
    <w:rPr>
      <w:rFonts w:ascii="宋体" w:hAnsi="宋体"/>
      <w:sz w:val="24"/>
      <w:szCs w:val="24"/>
    </w:rPr>
  </w:style>
  <w:style w:type="character" w:customStyle="1" w:styleId="131">
    <w:name w:val="标题 Char"/>
    <w:link w:val="84"/>
    <w:qFormat/>
    <w:uiPriority w:val="0"/>
    <w:rPr>
      <w:rFonts w:ascii="等线 Light" w:hAnsi="等线 Light" w:eastAsia="等线 Light"/>
      <w:b/>
      <w:bCs/>
      <w:kern w:val="2"/>
      <w:sz w:val="32"/>
      <w:szCs w:val="32"/>
    </w:rPr>
  </w:style>
  <w:style w:type="character" w:customStyle="1" w:styleId="132">
    <w:name w:val="批注主题 Char"/>
    <w:link w:val="85"/>
    <w:qFormat/>
    <w:uiPriority w:val="0"/>
    <w:rPr>
      <w:b/>
      <w:bCs/>
    </w:rPr>
  </w:style>
  <w:style w:type="character" w:customStyle="1" w:styleId="133">
    <w:name w:val="正文首行缩进 Char"/>
    <w:link w:val="86"/>
    <w:qFormat/>
    <w:uiPriority w:val="0"/>
  </w:style>
  <w:style w:type="character" w:customStyle="1" w:styleId="134">
    <w:name w:val="正文首行缩进 2 Char"/>
    <w:link w:val="87"/>
    <w:qFormat/>
    <w:uiPriority w:val="0"/>
    <w:rPr>
      <w:kern w:val="2"/>
      <w:sz w:val="21"/>
      <w:szCs w:val="22"/>
    </w:rPr>
  </w:style>
  <w:style w:type="character" w:customStyle="1" w:styleId="135">
    <w:name w:val="正文文本缩进 Char"/>
    <w:qFormat/>
    <w:uiPriority w:val="0"/>
    <w:rPr>
      <w:kern w:val="2"/>
      <w:sz w:val="21"/>
      <w:szCs w:val="22"/>
    </w:rPr>
  </w:style>
  <w:style w:type="paragraph" w:styleId="136">
    <w:name w:val="List Paragraph"/>
    <w:basedOn w:val="1"/>
    <w:qFormat/>
    <w:uiPriority w:val="99"/>
    <w:pPr>
      <w:ind w:firstLine="420" w:firstLineChars="200"/>
    </w:pPr>
    <w:rPr>
      <w:rFonts w:ascii="Calibri" w:hAnsi="Calibri" w:eastAsia="宋体" w:cs="Times New Roman"/>
    </w:rPr>
  </w:style>
  <w:style w:type="paragraph" w:customStyle="1" w:styleId="137">
    <w:name w:val="列出段落1"/>
    <w:basedOn w:val="1"/>
    <w:qFormat/>
    <w:uiPriority w:val="34"/>
    <w:pPr>
      <w:ind w:firstLine="420" w:firstLineChars="200"/>
    </w:pPr>
  </w:style>
  <w:style w:type="character" w:customStyle="1" w:styleId="138">
    <w:name w:val="Body Text Indent Char"/>
    <w:qFormat/>
    <w:locked/>
    <w:uiPriority w:val="0"/>
    <w:rPr>
      <w:rFonts w:ascii="Times New Roman" w:hAnsi="Times New Roman" w:eastAsia="宋体"/>
      <w:sz w:val="24"/>
    </w:rPr>
  </w:style>
  <w:style w:type="character" w:customStyle="1" w:styleId="139">
    <w:name w:val="Body Text Indent Char1"/>
    <w:semiHidden/>
    <w:qFormat/>
    <w:locked/>
    <w:uiPriority w:val="0"/>
    <w:rPr>
      <w:rFonts w:cs="Times New Roman"/>
    </w:rPr>
  </w:style>
  <w:style w:type="paragraph" w:customStyle="1" w:styleId="140">
    <w:name w:val="列出段落2"/>
    <w:basedOn w:val="1"/>
    <w:qFormat/>
    <w:uiPriority w:val="0"/>
    <w:pPr>
      <w:ind w:firstLine="420" w:firstLineChars="200"/>
    </w:pPr>
  </w:style>
  <w:style w:type="paragraph" w:customStyle="1" w:styleId="141">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3">
    <w:name w:val="Char Char2"/>
    <w:qFormat/>
    <w:uiPriority w:val="0"/>
    <w:rPr>
      <w:rFonts w:ascii="Times New Roman" w:hAnsi="Times New Roman" w:eastAsia="宋体"/>
      <w:sz w:val="24"/>
    </w:rPr>
  </w:style>
  <w:style w:type="character" w:customStyle="1" w:styleId="144">
    <w:name w:val="Char Char"/>
    <w:qFormat/>
    <w:uiPriority w:val="0"/>
    <w:rPr>
      <w:kern w:val="2"/>
      <w:sz w:val="22"/>
    </w:rPr>
  </w:style>
  <w:style w:type="character" w:customStyle="1" w:styleId="145">
    <w:name w:val="emtidy-4"/>
    <w:qFormat/>
    <w:uiPriority w:val="0"/>
  </w:style>
  <w:style w:type="character" w:customStyle="1" w:styleId="146">
    <w:name w:val="emtidy-2"/>
    <w:qFormat/>
    <w:uiPriority w:val="0"/>
  </w:style>
  <w:style w:type="paragraph" w:customStyle="1" w:styleId="147">
    <w:name w:val="样式2"/>
    <w:basedOn w:val="1"/>
    <w:qFormat/>
    <w:uiPriority w:val="0"/>
    <w:pPr>
      <w:spacing w:line="640" w:lineRule="exact"/>
      <w:ind w:firstLine="720" w:firstLineChars="200"/>
      <w:jc w:val="left"/>
    </w:pPr>
    <w:rPr>
      <w:rFonts w:ascii="方正仿宋_GBK" w:hAnsi="方正仿宋_GBK" w:eastAsia="方正仿宋_GBK" w:cs="方正仿宋_GBK"/>
      <w:sz w:val="36"/>
      <w:szCs w:val="36"/>
    </w:rPr>
  </w:style>
  <w:style w:type="character" w:customStyle="1" w:styleId="148">
    <w:name w:val="NormalCharacter"/>
    <w:qFormat/>
    <w:uiPriority w:val="0"/>
    <w:rPr>
      <w:kern w:val="2"/>
      <w:sz w:val="21"/>
      <w:szCs w:val="24"/>
      <w:lang w:val="en-US" w:eastAsia="zh-CN" w:bidi="ar-SA"/>
    </w:rPr>
  </w:style>
  <w:style w:type="character" w:customStyle="1" w:styleId="149">
    <w:name w:val="所标正文 Char Char"/>
    <w:link w:val="150"/>
    <w:qFormat/>
    <w:uiPriority w:val="0"/>
    <w:rPr>
      <w:rFonts w:ascii="仿宋_GB2312" w:eastAsia="仿宋_GB2312"/>
      <w:sz w:val="30"/>
      <w:szCs w:val="28"/>
    </w:rPr>
  </w:style>
  <w:style w:type="paragraph" w:customStyle="1" w:styleId="150">
    <w:name w:val="所标正文"/>
    <w:basedOn w:val="1"/>
    <w:link w:val="149"/>
    <w:qFormat/>
    <w:uiPriority w:val="0"/>
    <w:pPr>
      <w:spacing w:line="360" w:lineRule="auto"/>
      <w:ind w:firstLine="200" w:firstLineChars="200"/>
    </w:pPr>
    <w:rPr>
      <w:rFonts w:ascii="仿宋_GB2312" w:eastAsia="仿宋_GB2312"/>
      <w:kern w:val="0"/>
      <w:sz w:val="30"/>
      <w:szCs w:val="28"/>
    </w:rPr>
  </w:style>
  <w:style w:type="character" w:customStyle="1" w:styleId="151">
    <w:name w:val="bjh-p"/>
    <w:qFormat/>
    <w:uiPriority w:val="0"/>
  </w:style>
  <w:style w:type="character" w:customStyle="1" w:styleId="152">
    <w:name w:val="未处理的提及1"/>
    <w:unhideWhenUsed/>
    <w:qFormat/>
    <w:uiPriority w:val="99"/>
    <w:rPr>
      <w:color w:val="605E5C"/>
      <w:shd w:val="clear" w:color="auto" w:fill="E1DFDD"/>
    </w:rPr>
  </w:style>
  <w:style w:type="character" w:customStyle="1" w:styleId="153">
    <w:name w:val="明显引用 Char"/>
    <w:qFormat/>
    <w:uiPriority w:val="99"/>
    <w:rPr>
      <w:rFonts w:ascii="Calibri" w:hAnsi="Calibri"/>
      <w:i/>
      <w:iCs/>
      <w:color w:val="5B9BD5"/>
      <w:szCs w:val="24"/>
    </w:rPr>
  </w:style>
  <w:style w:type="paragraph" w:styleId="154">
    <w:name w:val="Intense Quote"/>
    <w:basedOn w:val="1"/>
    <w:next w:val="1"/>
    <w:link w:val="155"/>
    <w:qFormat/>
    <w:uiPriority w:val="30"/>
    <w:pPr>
      <w:pBdr>
        <w:top w:val="single" w:color="5B9BD5" w:sz="4" w:space="10"/>
        <w:bottom w:val="single" w:color="5B9BD5" w:sz="4" w:space="10"/>
      </w:pBdr>
      <w:spacing w:before="360" w:after="360"/>
      <w:ind w:left="864" w:right="864"/>
      <w:jc w:val="center"/>
    </w:pPr>
    <w:rPr>
      <w:b/>
      <w:bCs/>
      <w:i/>
      <w:iCs/>
      <w:color w:val="4F81BD"/>
    </w:rPr>
  </w:style>
  <w:style w:type="character" w:customStyle="1" w:styleId="155">
    <w:name w:val="明显引用 Char1"/>
    <w:link w:val="154"/>
    <w:uiPriority w:val="30"/>
    <w:rPr>
      <w:b/>
      <w:bCs/>
      <w:i/>
      <w:iCs/>
      <w:color w:val="4F81BD"/>
      <w:kern w:val="2"/>
      <w:sz w:val="21"/>
      <w:szCs w:val="22"/>
    </w:rPr>
  </w:style>
  <w:style w:type="character" w:customStyle="1" w:styleId="156">
    <w:name w:val="引用 Char"/>
    <w:qFormat/>
    <w:uiPriority w:val="99"/>
    <w:rPr>
      <w:rFonts w:ascii="Calibri" w:hAnsi="Calibri"/>
      <w:i/>
      <w:iCs/>
      <w:color w:val="3F3F3F"/>
      <w:szCs w:val="24"/>
    </w:rPr>
  </w:style>
  <w:style w:type="paragraph" w:styleId="157">
    <w:name w:val="Quote"/>
    <w:basedOn w:val="1"/>
    <w:next w:val="1"/>
    <w:link w:val="158"/>
    <w:qFormat/>
    <w:uiPriority w:val="29"/>
    <w:pPr>
      <w:spacing w:before="200" w:after="160"/>
      <w:ind w:left="864" w:right="864"/>
      <w:jc w:val="center"/>
    </w:pPr>
    <w:rPr>
      <w:i/>
      <w:iCs/>
      <w:color w:val="000000"/>
    </w:rPr>
  </w:style>
  <w:style w:type="character" w:customStyle="1" w:styleId="158">
    <w:name w:val="引用 Char1"/>
    <w:link w:val="157"/>
    <w:uiPriority w:val="29"/>
    <w:rPr>
      <w:i/>
      <w:iCs/>
      <w:color w:val="000000"/>
      <w:kern w:val="2"/>
      <w:sz w:val="21"/>
      <w:szCs w:val="22"/>
    </w:rPr>
  </w:style>
  <w:style w:type="paragraph" w:customStyle="1" w:styleId="159">
    <w:name w:val="公文一级标题"/>
    <w:basedOn w:val="1"/>
    <w:qFormat/>
    <w:uiPriority w:val="0"/>
    <w:pPr>
      <w:spacing w:line="560" w:lineRule="exact"/>
      <w:ind w:firstLine="640" w:firstLineChars="200"/>
    </w:pPr>
    <w:rPr>
      <w:rFonts w:eastAsia="黑体"/>
      <w:sz w:val="32"/>
      <w:szCs w:val="24"/>
    </w:rPr>
  </w:style>
  <w:style w:type="paragraph" w:customStyle="1" w:styleId="160">
    <w:name w:val="正文3"/>
    <w:qFormat/>
    <w:uiPriority w:val="0"/>
    <w:pPr>
      <w:jc w:val="both"/>
    </w:pPr>
    <w:rPr>
      <w:rFonts w:ascii="宋体" w:hAnsi="宋体" w:cs="宋体"/>
      <w:kern w:val="2"/>
      <w:sz w:val="21"/>
      <w:szCs w:val="21"/>
      <w:lang w:val="en-US" w:eastAsia="zh-CN" w:bidi="ar-SA"/>
    </w:rPr>
  </w:style>
  <w:style w:type="paragraph" w:customStyle="1" w:styleId="161">
    <w:name w:val="正文1"/>
    <w:qFormat/>
    <w:uiPriority w:val="0"/>
    <w:pPr>
      <w:jc w:val="both"/>
    </w:pPr>
    <w:rPr>
      <w:rFonts w:ascii="Calibri" w:hAnsi="Calibri" w:cs="Calibri"/>
      <w:kern w:val="2"/>
      <w:sz w:val="21"/>
      <w:szCs w:val="21"/>
      <w:lang w:val="en-US" w:eastAsia="zh-CN" w:bidi="ar-SA"/>
    </w:rPr>
  </w:style>
  <w:style w:type="paragraph" w:customStyle="1" w:styleId="162">
    <w:name w:val="正文2"/>
    <w:qFormat/>
    <w:uiPriority w:val="0"/>
    <w:pPr>
      <w:jc w:val="both"/>
    </w:pPr>
    <w:rPr>
      <w:kern w:val="2"/>
      <w:sz w:val="21"/>
      <w:szCs w:val="21"/>
      <w:lang w:val="en-US" w:eastAsia="zh-CN" w:bidi="ar-SA"/>
    </w:rPr>
  </w:style>
  <w:style w:type="paragraph" w:customStyle="1" w:styleId="163">
    <w:name w:val="正文4"/>
    <w:qFormat/>
    <w:uiPriority w:val="0"/>
    <w:pPr>
      <w:jc w:val="both"/>
    </w:pPr>
    <w:rPr>
      <w:rFonts w:ascii="Calibri" w:hAnsi="Calibri" w:cs="Calibri"/>
      <w:kern w:val="2"/>
      <w:sz w:val="21"/>
      <w:szCs w:val="21"/>
      <w:lang w:val="en-US" w:eastAsia="zh-CN" w:bidi="ar-SA"/>
    </w:rPr>
  </w:style>
  <w:style w:type="paragraph" w:customStyle="1" w:styleId="164">
    <w:name w:val="TOC 标题1"/>
    <w:basedOn w:val="5"/>
    <w:next w:val="1"/>
    <w:unhideWhenUsed/>
    <w:qFormat/>
    <w:uiPriority w:val="39"/>
    <w:pPr>
      <w:outlineLvl w:val="9"/>
    </w:pPr>
    <w:rPr>
      <w:rFonts w:ascii="Calibri" w:hAnsi="Calibri"/>
      <w:lang w:val="en-US" w:eastAsia="zh-CN"/>
    </w:rPr>
  </w:style>
  <w:style w:type="paragraph" w:customStyle="1" w:styleId="165">
    <w:name w:val="书目1"/>
    <w:basedOn w:val="1"/>
    <w:next w:val="1"/>
    <w:unhideWhenUsed/>
    <w:qFormat/>
    <w:uiPriority w:val="37"/>
    <w:rPr>
      <w:rFonts w:ascii="Calibri" w:hAnsi="Calibri"/>
      <w:szCs w:val="24"/>
    </w:rPr>
  </w:style>
  <w:style w:type="paragraph" w:styleId="166">
    <w:name w:val="No Spacing"/>
    <w:qFormat/>
    <w:uiPriority w:val="99"/>
    <w:pPr>
      <w:widowControl w:val="0"/>
      <w:jc w:val="both"/>
    </w:pPr>
    <w:rPr>
      <w:rFonts w:ascii="Calibri" w:hAnsi="Calibri"/>
      <w:kern w:val="2"/>
      <w:sz w:val="21"/>
      <w:szCs w:val="24"/>
      <w:lang w:val="en-US" w:eastAsia="zh-CN" w:bidi="ar-SA"/>
    </w:rPr>
  </w:style>
  <w:style w:type="paragraph" w:customStyle="1" w:styleId="167">
    <w:name w:val="TOC 标题2"/>
    <w:basedOn w:val="5"/>
    <w:next w:val="1"/>
    <w:unhideWhenUsed/>
    <w:qFormat/>
    <w:uiPriority w:val="39"/>
    <w:pPr>
      <w:outlineLvl w:val="9"/>
    </w:pPr>
    <w:rPr>
      <w:rFonts w:ascii="Calibri" w:hAnsi="Calibri"/>
      <w:lang w:val="en-US" w:eastAsia="zh-CN"/>
    </w:rPr>
  </w:style>
  <w:style w:type="paragraph" w:customStyle="1" w:styleId="168">
    <w:name w:val="书目2"/>
    <w:basedOn w:val="1"/>
    <w:next w:val="1"/>
    <w:unhideWhenUsed/>
    <w:qFormat/>
    <w:uiPriority w:val="37"/>
    <w:rPr>
      <w:rFonts w:ascii="Calibri" w:hAnsi="Calibri"/>
      <w:szCs w:val="24"/>
    </w:rPr>
  </w:style>
  <w:style w:type="character" w:customStyle="1" w:styleId="169">
    <w:name w:val="脚注文本 字符"/>
    <w:qFormat/>
    <w:uiPriority w:val="0"/>
    <w:rPr>
      <w:rFonts w:ascii="Calibri" w:hAnsi="Calibri" w:eastAsia="宋体" w:cs="Times New Roman"/>
      <w:sz w:val="18"/>
      <w:szCs w:val="18"/>
    </w:rPr>
  </w:style>
  <w:style w:type="paragraph" w:customStyle="1" w:styleId="170">
    <w:name w:val="Char Char Char Char Char Char1 Char"/>
    <w:basedOn w:val="1"/>
    <w:uiPriority w:val="0"/>
    <w:pPr>
      <w:widowControl/>
      <w:spacing w:after="160" w:line="240" w:lineRule="exact"/>
      <w:jc w:val="left"/>
    </w:pPr>
    <w:rPr>
      <w:rFonts w:ascii="Verdana" w:hAnsi="Verdana" w:eastAsia="仿宋_GB2312"/>
      <w:kern w:val="0"/>
      <w:sz w:val="30"/>
      <w:szCs w:val="3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1716</Words>
  <Characters>9784</Characters>
  <Lines>81</Lines>
  <Paragraphs>22</Paragraphs>
  <TotalTime>0</TotalTime>
  <ScaleCrop>false</ScaleCrop>
  <LinksUpToDate>false</LinksUpToDate>
  <CharactersWithSpaces>11478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2022-05-20T03:43:00Z</dcterms:created>
  <dc:creator>Administrator</dc:creator>
  <cp:lastModifiedBy>Administrator</cp:lastModifiedBy>
  <cp:lastPrinted>2022-05-20T03:42:00Z</cp:lastPrinted>
  <dcterms:modified xsi:type="dcterms:W3CDTF">2023-07-25T07:36:32Z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9C12595AC0AA4B51A69315F4E3B65179_13</vt:lpwstr>
  </property>
</Properties>
</file>